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772E2" w14:textId="77777777" w:rsidR="00367D2D" w:rsidRPr="001C36FF" w:rsidRDefault="001C36FF">
      <w:pPr>
        <w:rPr>
          <w:b/>
          <w:sz w:val="24"/>
          <w:szCs w:val="24"/>
        </w:rPr>
      </w:pPr>
      <w:r w:rsidRPr="001C36FF">
        <w:rPr>
          <w:b/>
          <w:sz w:val="24"/>
          <w:szCs w:val="24"/>
        </w:rPr>
        <w:t>Supplementary data analysis for DKA study</w:t>
      </w:r>
    </w:p>
    <w:p w14:paraId="074F114F" w14:textId="42755043" w:rsidR="00825A5D" w:rsidRDefault="001C36FF">
      <w:pPr>
        <w:rPr>
          <w:color w:val="000000"/>
        </w:rPr>
      </w:pPr>
      <w:r w:rsidRPr="00172286">
        <w:t>T</w:t>
      </w:r>
      <w:r w:rsidR="00825A5D" w:rsidRPr="00172286">
        <w:t xml:space="preserve">wo sample t-test was used for each of the variables that </w:t>
      </w:r>
      <w:r w:rsidR="00172286">
        <w:t>is</w:t>
      </w:r>
      <w:r w:rsidR="00825A5D" w:rsidRPr="00172286">
        <w:t xml:space="preserve"> of interest. </w:t>
      </w:r>
      <w:r w:rsidR="00172286">
        <w:t xml:space="preserve">Both HCO3 closure time and AG closure time were analyzed on the logarithm scale to meet the normal assumption. The </w:t>
      </w:r>
      <w:r w:rsidR="00825A5D" w:rsidRPr="00172286">
        <w:rPr>
          <w:color w:val="000000"/>
        </w:rPr>
        <w:t>time i</w:t>
      </w:r>
      <w:r w:rsidR="00172286">
        <w:rPr>
          <w:color w:val="000000"/>
        </w:rPr>
        <w:t xml:space="preserve">t took for glucose to normalize is transformed as </w:t>
      </w:r>
      <m:oMath>
        <m:r>
          <w:rPr>
            <w:rFonts w:ascii="Cambria Math" w:hAnsi="Cambria Math"/>
            <w:color w:val="000000"/>
          </w:rPr>
          <m:t>y=1/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4</m:t>
            </m:r>
          </m:sup>
        </m:sSup>
      </m:oMath>
      <w:r w:rsidR="00172286">
        <w:rPr>
          <w:color w:val="000000"/>
        </w:rPr>
        <w:t>.</w:t>
      </w:r>
    </w:p>
    <w:tbl>
      <w:tblPr>
        <w:tblW w:w="129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608"/>
        <w:gridCol w:w="894"/>
        <w:gridCol w:w="825"/>
        <w:gridCol w:w="1334"/>
        <w:gridCol w:w="1139"/>
        <w:gridCol w:w="613"/>
        <w:gridCol w:w="896"/>
        <w:gridCol w:w="920"/>
        <w:gridCol w:w="1328"/>
        <w:gridCol w:w="1205"/>
        <w:gridCol w:w="864"/>
        <w:gridCol w:w="925"/>
      </w:tblGrid>
      <w:tr w:rsidR="00301177" w14:paraId="3244E3EA" w14:textId="77777777" w:rsidTr="00301177">
        <w:trPr>
          <w:trHeight w:val="323"/>
          <w:jc w:val="center"/>
        </w:trPr>
        <w:tc>
          <w:tcPr>
            <w:tcW w:w="1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CFAAC0" w14:textId="77777777" w:rsidR="00301177" w:rsidRDefault="00301177">
            <w:pPr>
              <w:spacing w:line="254" w:lineRule="auto"/>
            </w:pPr>
            <w:r>
              <w:t>Variable</w:t>
            </w:r>
          </w:p>
        </w:tc>
        <w:tc>
          <w:tcPr>
            <w:tcW w:w="49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D64352" w14:textId="77777777" w:rsidR="00301177" w:rsidRDefault="00301177">
            <w:pPr>
              <w:spacing w:line="254" w:lineRule="auto"/>
              <w:jc w:val="center"/>
            </w:pPr>
            <w:r>
              <w:t>One-bag system</w:t>
            </w:r>
          </w:p>
        </w:tc>
        <w:tc>
          <w:tcPr>
            <w:tcW w:w="467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E163C6" w14:textId="77777777" w:rsidR="00301177" w:rsidRDefault="00301177">
            <w:pPr>
              <w:spacing w:line="254" w:lineRule="auto"/>
              <w:jc w:val="center"/>
            </w:pPr>
            <w:r>
              <w:t>Two-bag system</w:t>
            </w:r>
          </w:p>
        </w:tc>
        <w:tc>
          <w:tcPr>
            <w:tcW w:w="8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BD9712" w14:textId="77777777" w:rsidR="00301177" w:rsidRDefault="00301177">
            <w:pPr>
              <w:spacing w:line="254" w:lineRule="auto"/>
              <w:jc w:val="center"/>
            </w:pPr>
            <w:r>
              <w:t>t value</w:t>
            </w:r>
          </w:p>
        </w:tc>
        <w:tc>
          <w:tcPr>
            <w:tcW w:w="95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5955FF" w14:textId="77777777" w:rsidR="00301177" w:rsidRDefault="00301177">
            <w:pPr>
              <w:spacing w:line="254" w:lineRule="auto"/>
              <w:jc w:val="center"/>
            </w:pPr>
            <w:r>
              <w:t>p value</w:t>
            </w:r>
          </w:p>
        </w:tc>
      </w:tr>
      <w:tr w:rsidR="00301177" w14:paraId="40A36F6D" w14:textId="77777777" w:rsidTr="00301177">
        <w:trPr>
          <w:trHeight w:val="32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E85E67" w14:textId="77777777" w:rsidR="00301177" w:rsidRDefault="00301177">
            <w:pPr>
              <w:rPr>
                <w:rFonts w:ascii="Calibri" w:eastAsiaTheme="minorHAnsi" w:hAnsi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7A5974" w14:textId="77777777" w:rsidR="00301177" w:rsidRDefault="00301177">
            <w:pPr>
              <w:spacing w:line="254" w:lineRule="auto"/>
              <w:jc w:val="center"/>
            </w:pPr>
            <w:r>
              <w:t>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C68E49" w14:textId="77777777" w:rsidR="00301177" w:rsidRDefault="00301177">
            <w:pPr>
              <w:spacing w:line="254" w:lineRule="auto"/>
              <w:jc w:val="center"/>
            </w:pPr>
            <w:r>
              <w:t>Mean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4D4384" w14:textId="77777777" w:rsidR="00301177" w:rsidRDefault="00301177">
            <w:pPr>
              <w:spacing w:line="254" w:lineRule="auto"/>
              <w:jc w:val="center"/>
            </w:pPr>
            <w:r>
              <w:t>SD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D3DC02" w14:textId="77777777" w:rsidR="00301177" w:rsidRDefault="00301177">
            <w:pPr>
              <w:spacing w:line="254" w:lineRule="auto"/>
              <w:jc w:val="center"/>
            </w:pPr>
            <w:r>
              <w:t>Mean (back transformed)</w:t>
            </w:r>
          </w:p>
          <w:p w14:paraId="7323CCE2" w14:textId="7D636275" w:rsidR="00301177" w:rsidRDefault="00301177">
            <w:pPr>
              <w:spacing w:line="254" w:lineRule="auto"/>
              <w:jc w:val="center"/>
            </w:pPr>
            <w:r>
              <w:t>in hours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77E134" w14:textId="77777777" w:rsidR="00301177" w:rsidRDefault="00301177">
            <w:pPr>
              <w:spacing w:line="254" w:lineRule="auto"/>
              <w:jc w:val="center"/>
            </w:pPr>
            <w:r>
              <w:t xml:space="preserve">SD (back transformed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075F54" w14:textId="77777777" w:rsidR="00301177" w:rsidRDefault="00301177">
            <w:pPr>
              <w:spacing w:line="254" w:lineRule="auto"/>
              <w:jc w:val="center"/>
            </w:pPr>
            <w:r>
              <w:t>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E118BF" w14:textId="77777777" w:rsidR="00301177" w:rsidRDefault="00301177">
            <w:pPr>
              <w:spacing w:line="254" w:lineRule="auto"/>
              <w:jc w:val="center"/>
            </w:pPr>
            <w:r>
              <w:t>Mean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7F1B58" w14:textId="77777777" w:rsidR="00301177" w:rsidRDefault="00301177">
            <w:pPr>
              <w:spacing w:line="254" w:lineRule="auto"/>
              <w:jc w:val="center"/>
            </w:pPr>
            <w:r>
              <w:t>SD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71B7175" w14:textId="77777777" w:rsidR="00301177" w:rsidRDefault="00301177">
            <w:pPr>
              <w:spacing w:line="254" w:lineRule="auto"/>
              <w:jc w:val="center"/>
            </w:pPr>
            <w:r>
              <w:t>Mean (back transformed)</w:t>
            </w:r>
          </w:p>
          <w:p w14:paraId="4B48F581" w14:textId="6E3758D4" w:rsidR="00301177" w:rsidRDefault="00301177">
            <w:pPr>
              <w:spacing w:line="254" w:lineRule="auto"/>
              <w:jc w:val="center"/>
            </w:pPr>
            <w:r>
              <w:t>in hours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8FF3D7D" w14:textId="77777777" w:rsidR="00301177" w:rsidRDefault="00301177">
            <w:pPr>
              <w:spacing w:line="254" w:lineRule="auto"/>
            </w:pPr>
            <w:r>
              <w:t xml:space="preserve">SD (back transformed)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E6C645" w14:textId="77777777" w:rsidR="00301177" w:rsidRDefault="00301177">
            <w:pPr>
              <w:rPr>
                <w:rFonts w:ascii="Calibri" w:eastAsiaTheme="minorHAnsi" w:hAnsi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510115" w14:textId="77777777" w:rsidR="00301177" w:rsidRDefault="00301177">
            <w:pPr>
              <w:rPr>
                <w:rFonts w:ascii="Calibri" w:eastAsiaTheme="minorHAnsi" w:hAnsi="Calibri"/>
              </w:rPr>
            </w:pPr>
          </w:p>
        </w:tc>
      </w:tr>
      <w:tr w:rsidR="00301177" w14:paraId="2068243A" w14:textId="77777777" w:rsidTr="00301177">
        <w:trPr>
          <w:trHeight w:val="410"/>
          <w:jc w:val="center"/>
        </w:trPr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F68F8C" w14:textId="77777777" w:rsidR="00301177" w:rsidRDefault="00301177">
            <w:pPr>
              <w:spacing w:line="254" w:lineRule="auto"/>
            </w:pPr>
            <w:r>
              <w:t>HCO3 closure time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EDDDBB" w14:textId="77777777" w:rsidR="00301177" w:rsidRDefault="00301177">
            <w:pPr>
              <w:spacing w:line="254" w:lineRule="auto"/>
              <w:jc w:val="center"/>
            </w:pPr>
            <w:r>
              <w:t>248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6009AE" w14:textId="77777777" w:rsidR="00301177" w:rsidRDefault="00301177">
            <w:pPr>
              <w:spacing w:line="254" w:lineRule="auto"/>
              <w:jc w:val="center"/>
            </w:pPr>
            <w:r>
              <w:t>2.9933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C601B46" w14:textId="77777777" w:rsidR="00301177" w:rsidRDefault="00301177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0.6877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E0315B5" w14:textId="77777777" w:rsidR="00301177" w:rsidRDefault="00301177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19.95141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764B351" w14:textId="77777777" w:rsidR="00301177" w:rsidRDefault="00301177">
            <w:pPr>
              <w:spacing w:line="254" w:lineRule="auto"/>
              <w:jc w:val="center"/>
            </w:pPr>
            <w:r>
              <w:t>1.989135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40204A" w14:textId="77777777" w:rsidR="00301177" w:rsidRDefault="00301177">
            <w:pPr>
              <w:spacing w:line="254" w:lineRule="auto"/>
              <w:jc w:val="center"/>
            </w:pPr>
            <w:r>
              <w:t>134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238602" w14:textId="77777777" w:rsidR="00301177" w:rsidRDefault="00301177">
            <w:pPr>
              <w:spacing w:line="254" w:lineRule="auto"/>
              <w:jc w:val="center"/>
            </w:pPr>
            <w:r>
              <w:t>2.9179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D8CD5F" w14:textId="77777777" w:rsidR="00301177" w:rsidRDefault="00301177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0.8239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14B9CC3" w14:textId="77777777" w:rsidR="00301177" w:rsidRDefault="00301177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18.50239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CC9CA38" w14:textId="77777777" w:rsidR="00301177" w:rsidRDefault="00301177">
            <w:pPr>
              <w:spacing w:line="254" w:lineRule="auto"/>
              <w:jc w:val="center"/>
            </w:pPr>
            <w:r>
              <w:t>2.279372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F96F7" w14:textId="77777777" w:rsidR="00301177" w:rsidRDefault="00301177">
            <w:pPr>
              <w:spacing w:line="254" w:lineRule="auto"/>
              <w:jc w:val="center"/>
            </w:pPr>
            <w:r>
              <w:t>0.90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F6CA7" w14:textId="77777777" w:rsidR="00301177" w:rsidRDefault="00301177">
            <w:pPr>
              <w:spacing w:line="254" w:lineRule="auto"/>
              <w:jc w:val="center"/>
            </w:pPr>
            <w:r>
              <w:t>0.3676</w:t>
            </w:r>
          </w:p>
        </w:tc>
      </w:tr>
      <w:tr w:rsidR="00301177" w14:paraId="5E49E8C5" w14:textId="77777777" w:rsidTr="00301177">
        <w:trPr>
          <w:trHeight w:val="410"/>
          <w:jc w:val="center"/>
        </w:trPr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428BBA" w14:textId="77777777" w:rsidR="00301177" w:rsidRDefault="00301177">
            <w:pPr>
              <w:spacing w:line="254" w:lineRule="auto"/>
            </w:pPr>
            <w:r>
              <w:t>AG closure time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F7436C" w14:textId="77777777" w:rsidR="00301177" w:rsidRDefault="00301177">
            <w:pPr>
              <w:spacing w:line="254" w:lineRule="auto"/>
              <w:jc w:val="center"/>
            </w:pPr>
            <w:r>
              <w:t>248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E272CF" w14:textId="77777777" w:rsidR="00301177" w:rsidRDefault="00301177">
            <w:pPr>
              <w:spacing w:line="254" w:lineRule="auto"/>
              <w:jc w:val="center"/>
            </w:pPr>
            <w:r>
              <w:t>2.6077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B5B2A3F" w14:textId="77777777" w:rsidR="00301177" w:rsidRDefault="00301177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0.5622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3706B75" w14:textId="77777777" w:rsidR="00301177" w:rsidRDefault="00301177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13.56781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D746A9" w14:textId="77777777" w:rsidR="00301177" w:rsidRDefault="00301177">
            <w:pPr>
              <w:spacing w:line="254" w:lineRule="auto"/>
              <w:jc w:val="center"/>
            </w:pPr>
            <w:r>
              <w:t>1.754528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BEB575" w14:textId="77777777" w:rsidR="00301177" w:rsidRDefault="00301177">
            <w:pPr>
              <w:spacing w:line="254" w:lineRule="auto"/>
              <w:jc w:val="center"/>
            </w:pPr>
            <w:r>
              <w:t>134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443148" w14:textId="77777777" w:rsidR="00301177" w:rsidRDefault="00301177">
            <w:pPr>
              <w:spacing w:line="254" w:lineRule="auto"/>
              <w:jc w:val="center"/>
            </w:pPr>
            <w:r>
              <w:t>2.3931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236095" w14:textId="77777777" w:rsidR="00301177" w:rsidRDefault="00301177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0.4861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13D34A1" w14:textId="77777777" w:rsidR="00301177" w:rsidRDefault="00301177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10.94738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18F21C" w14:textId="77777777" w:rsidR="00301177" w:rsidRDefault="00301177">
            <w:pPr>
              <w:spacing w:line="254" w:lineRule="auto"/>
              <w:jc w:val="center"/>
            </w:pPr>
            <w:r>
              <w:t>1.625963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CEC0C" w14:textId="77777777" w:rsidR="00301177" w:rsidRDefault="00301177">
            <w:pPr>
              <w:spacing w:line="254" w:lineRule="auto"/>
              <w:jc w:val="center"/>
            </w:pPr>
            <w:r>
              <w:t>3.73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853F6" w14:textId="77777777" w:rsidR="00301177" w:rsidRDefault="00301177">
            <w:pPr>
              <w:spacing w:line="254" w:lineRule="auto"/>
              <w:jc w:val="center"/>
            </w:pPr>
            <w:r>
              <w:t>0.0002</w:t>
            </w:r>
          </w:p>
        </w:tc>
      </w:tr>
      <w:tr w:rsidR="00301177" w14:paraId="3262E126" w14:textId="77777777" w:rsidTr="00301177">
        <w:trPr>
          <w:trHeight w:val="535"/>
          <w:jc w:val="center"/>
        </w:trPr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73B6B1" w14:textId="77777777" w:rsidR="00301177" w:rsidRDefault="00301177">
            <w:pPr>
              <w:spacing w:line="254" w:lineRule="auto"/>
            </w:pPr>
            <w:r>
              <w:t>Time for glucose to normalize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347811" w14:textId="77777777" w:rsidR="00301177" w:rsidRDefault="00301177">
            <w:pPr>
              <w:spacing w:line="254" w:lineRule="auto"/>
              <w:jc w:val="center"/>
            </w:pPr>
            <w:r>
              <w:t>248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EF2739" w14:textId="77777777" w:rsidR="00301177" w:rsidRDefault="00301177">
            <w:pPr>
              <w:spacing w:line="254" w:lineRule="auto"/>
              <w:jc w:val="center"/>
            </w:pPr>
            <w:r>
              <w:t>1.7391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2C0AA12" w14:textId="77777777" w:rsidR="00301177" w:rsidRDefault="00301177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0.3205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4951C0" w14:textId="77777777" w:rsidR="00301177" w:rsidRDefault="00301177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9.147412</w:t>
            </w:r>
          </w:p>
          <w:p w14:paraId="4BD20B17" w14:textId="77777777" w:rsidR="00301177" w:rsidRDefault="00301177">
            <w:pPr>
              <w:spacing w:line="254" w:lineRule="auto"/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400511D" w14:textId="77777777" w:rsidR="00301177" w:rsidRDefault="00301177">
            <w:pPr>
              <w:spacing w:line="254" w:lineRule="auto"/>
              <w:jc w:val="center"/>
            </w:pPr>
            <w:r>
              <w:t>1.377817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34A49F" w14:textId="77777777" w:rsidR="00301177" w:rsidRDefault="00301177">
            <w:pPr>
              <w:spacing w:line="254" w:lineRule="auto"/>
              <w:jc w:val="center"/>
            </w:pPr>
            <w:r>
              <w:t>134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9C2E7F" w14:textId="77777777" w:rsidR="00301177" w:rsidRDefault="00301177">
            <w:pPr>
              <w:spacing w:line="254" w:lineRule="auto"/>
              <w:jc w:val="center"/>
            </w:pPr>
            <w:r>
              <w:t>1.6725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B08399" w14:textId="77777777" w:rsidR="00301177" w:rsidRDefault="00301177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0.2453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B546AC" w14:textId="77777777" w:rsidR="00301177" w:rsidRDefault="00301177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7.824643</w:t>
            </w:r>
          </w:p>
          <w:p w14:paraId="7E64EFE6" w14:textId="77777777" w:rsidR="00301177" w:rsidRDefault="00301177">
            <w:pPr>
              <w:spacing w:line="254" w:lineRule="auto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544C56" w14:textId="77777777" w:rsidR="00301177" w:rsidRDefault="00301177">
            <w:pPr>
              <w:spacing w:line="254" w:lineRule="auto"/>
              <w:jc w:val="center"/>
            </w:pPr>
            <w:r>
              <w:t>1.278005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1236F" w14:textId="77777777" w:rsidR="00301177" w:rsidRDefault="00301177">
            <w:pPr>
              <w:spacing w:line="254" w:lineRule="auto"/>
              <w:jc w:val="center"/>
            </w:pPr>
            <w:r>
              <w:t>2.27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928E6" w14:textId="77777777" w:rsidR="00301177" w:rsidRDefault="00301177">
            <w:pPr>
              <w:spacing w:line="254" w:lineRule="auto"/>
              <w:jc w:val="center"/>
            </w:pPr>
            <w:r>
              <w:t>0.0241</w:t>
            </w:r>
          </w:p>
        </w:tc>
      </w:tr>
    </w:tbl>
    <w:p w14:paraId="78920CDF" w14:textId="1A61CC04" w:rsidR="0056673F" w:rsidRDefault="0056673F"/>
    <w:p w14:paraId="1604B5E9" w14:textId="77777777" w:rsidR="0056673F" w:rsidRPr="00172286" w:rsidRDefault="0056673F">
      <w:r>
        <w:t>There is no significant difference for HCO3 closure time between two groups. Two bag system has significant short AG closure time and time for glucose to normalize th</w:t>
      </w:r>
      <w:bookmarkStart w:id="0" w:name="_GoBack"/>
      <w:bookmarkEnd w:id="0"/>
      <w:r>
        <w:t>an one bag system.</w:t>
      </w:r>
    </w:p>
    <w:sectPr w:rsidR="0056673F" w:rsidRPr="00172286" w:rsidSect="001722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FF"/>
    <w:rsid w:val="00110CA8"/>
    <w:rsid w:val="00172286"/>
    <w:rsid w:val="001C36FF"/>
    <w:rsid w:val="00272501"/>
    <w:rsid w:val="00301177"/>
    <w:rsid w:val="003552C5"/>
    <w:rsid w:val="00367D2D"/>
    <w:rsid w:val="003772BD"/>
    <w:rsid w:val="00395008"/>
    <w:rsid w:val="0056673F"/>
    <w:rsid w:val="00825A5D"/>
    <w:rsid w:val="00C25BE1"/>
    <w:rsid w:val="00C6258E"/>
    <w:rsid w:val="00D241DC"/>
    <w:rsid w:val="00F51C11"/>
    <w:rsid w:val="00F74E98"/>
    <w:rsid w:val="00FA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17D94"/>
  <w15:chartTrackingRefBased/>
  <w15:docId w15:val="{FCCF2290-FDFF-4E66-BA13-A1D810B3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2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Xu</dc:creator>
  <cp:keywords/>
  <dc:description/>
  <cp:lastModifiedBy>Iqbal Munir</cp:lastModifiedBy>
  <cp:revision>4</cp:revision>
  <dcterms:created xsi:type="dcterms:W3CDTF">2017-04-14T03:41:00Z</dcterms:created>
  <dcterms:modified xsi:type="dcterms:W3CDTF">2017-04-14T03:44:00Z</dcterms:modified>
</cp:coreProperties>
</file>