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A6" w:rsidRPr="00840475" w:rsidRDefault="00C775A6" w:rsidP="00132F56">
      <w:pPr>
        <w:shd w:val="clear" w:color="auto" w:fill="FFFFFF"/>
        <w:spacing w:before="0"/>
        <w:rPr>
          <w:sz w:val="20"/>
          <w:vertAlign w:val="superscript"/>
        </w:rPr>
      </w:pPr>
      <w:r w:rsidRPr="00840475">
        <w:rPr>
          <w:rFonts w:eastAsia="Times New Roman"/>
          <w:bCs/>
          <w:color w:val="212121"/>
          <w:lang w:eastAsia="nl-NL"/>
        </w:rPr>
        <w:t>Appendix 1 The association</w:t>
      </w:r>
      <w:r w:rsidR="00B42568">
        <w:rPr>
          <w:rFonts w:eastAsia="Times New Roman"/>
          <w:bCs/>
          <w:color w:val="212121"/>
          <w:lang w:eastAsia="nl-NL"/>
        </w:rPr>
        <w:t xml:space="preserve"> between tim</w:t>
      </w:r>
      <w:r w:rsidR="006354CB">
        <w:rPr>
          <w:rFonts w:eastAsia="Times New Roman"/>
          <w:bCs/>
          <w:color w:val="212121"/>
          <w:lang w:eastAsia="nl-NL"/>
        </w:rPr>
        <w:t xml:space="preserve">e and </w:t>
      </w:r>
      <w:r w:rsidR="00B42568">
        <w:rPr>
          <w:rFonts w:eastAsia="Times New Roman"/>
          <w:bCs/>
          <w:color w:val="212121"/>
          <w:lang w:eastAsia="nl-NL"/>
        </w:rPr>
        <w:t>outcomes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1987"/>
        <w:gridCol w:w="1984"/>
        <w:gridCol w:w="1985"/>
      </w:tblGrid>
      <w:tr w:rsidR="00C775A6" w:rsidRPr="00840475" w:rsidTr="00CA56EF">
        <w:trPr>
          <w:trHeight w:val="273"/>
        </w:trPr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740BC1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Estimated change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95%-CI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WHO-5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1.283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1.150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2.433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 .429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.485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-1.895 to 4.462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-2.079 to 4.379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-0.756 to 5.622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31B09" w:rsidP="00132F56">
            <w:pPr>
              <w:spacing w:before="0"/>
              <w:rPr>
                <w:rFonts w:eastAsia="Times New Roman"/>
                <w:sz w:val="20"/>
                <w:szCs w:val="20"/>
                <w:vertAlign w:val="superscript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OR</w:t>
            </w:r>
            <w:r w:rsidRPr="00840475">
              <w:rPr>
                <w:rFonts w:eastAsia="Times New Roman"/>
                <w:bCs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132F56">
            <w:pPr>
              <w:spacing w:before="0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132F56">
            <w:pPr>
              <w:spacing w:before="0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95%-CI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Symptomatic hypoglycemia incidence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 xml:space="preserve">     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132F56" w:rsidP="00132F56">
            <w:pPr>
              <w:spacing w:before="0" w:line="398" w:lineRule="atLeast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="00C775A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0.542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C775A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1.285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C775A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775A6">
            <w:pPr>
              <w:spacing w:before="0" w:line="398" w:lineRule="atLeast"/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.026</w:t>
            </w:r>
            <w:r w:rsidR="00132F56"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.386</w:t>
            </w:r>
            <w:r w:rsidR="00132F56"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775A6">
            <w:pPr>
              <w:spacing w:before="0" w:line="398" w:lineRule="atLeast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</w:p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 xml:space="preserve">0.316 to 0.929 </w:t>
            </w:r>
            <w:r w:rsidR="00132F56"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0.728 to 2.270</w:t>
            </w:r>
            <w:r w:rsidR="00132F56"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0.411 to 1.177</w:t>
            </w: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Nocturnal hypoglycemia incidence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775A6">
            <w:pPr>
              <w:spacing w:before="0" w:line="398" w:lineRule="atLeast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</w:p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0.636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1.117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775A6">
            <w:pPr>
              <w:spacing w:before="0" w:line="398" w:lineRule="atLeast"/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.351</w:t>
            </w:r>
            <w:r w:rsidR="00132F56"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.834</w:t>
            </w:r>
            <w:r w:rsidR="00132F56"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775A6">
            <w:pPr>
              <w:spacing w:before="0" w:line="398" w:lineRule="atLeast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</w:p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0.245 to 1.650</w:t>
            </w:r>
            <w:r w:rsidR="00132F56"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0.395 to 3.168</w:t>
            </w:r>
            <w:r w:rsidR="00132F56"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0.280 to 1.806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Severe hypoglycemia incidence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775A6">
            <w:pPr>
              <w:spacing w:before="0" w:line="398" w:lineRule="atLeast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</w:p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0.466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1.000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0.466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775A6">
            <w:pPr>
              <w:spacing w:before="0" w:line="398" w:lineRule="atLeast"/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.198</w:t>
            </w:r>
            <w:r w:rsidR="00132F56"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1.000</w:t>
            </w:r>
            <w:r w:rsidR="00132F56"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.202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775A6">
            <w:pPr>
              <w:spacing w:before="0" w:line="398" w:lineRule="atLeast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</w:p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0.146 to 1.493</w:t>
            </w:r>
            <w:r w:rsidR="00132F56"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 xml:space="preserve">0.254 to 3.943 </w:t>
            </w:r>
            <w:r w:rsidR="00132F56"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0.144 to 1.508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740BC1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Estimated change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95%-CI</w:t>
            </w:r>
          </w:p>
        </w:tc>
      </w:tr>
      <w:tr w:rsidR="00C9775F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5F" w:rsidRPr="00840475" w:rsidRDefault="00C9775F" w:rsidP="00C9775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HbA1c</w:t>
            </w: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 xml:space="preserve"> (%)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9775F" w:rsidRPr="00840475" w:rsidRDefault="00C9775F" w:rsidP="00C9775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9775F" w:rsidRPr="00840475" w:rsidRDefault="00C9775F" w:rsidP="00C9775F">
            <w:pPr>
              <w:spacing w:before="0" w:line="480" w:lineRule="auto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5F" w:rsidRDefault="00C9775F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C9775F" w:rsidRDefault="00CA1860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>-0.128</w:t>
            </w:r>
          </w:p>
          <w:p w:rsidR="00C9775F" w:rsidRDefault="00C9775F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>-0.039</w:t>
            </w:r>
          </w:p>
          <w:p w:rsidR="00C9775F" w:rsidRPr="00840475" w:rsidRDefault="00C9775F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>-0.167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5F" w:rsidRDefault="00C9775F" w:rsidP="00C775A6">
            <w:pPr>
              <w:spacing w:before="0" w:line="480" w:lineRule="auto"/>
              <w:rPr>
                <w:sz w:val="20"/>
                <w:szCs w:val="20"/>
              </w:rPr>
            </w:pPr>
          </w:p>
          <w:p w:rsidR="00C9775F" w:rsidRDefault="00CA1860" w:rsidP="00C775A6">
            <w:pPr>
              <w:spacing w:before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.072</w:t>
            </w:r>
          </w:p>
          <w:p w:rsidR="00C9775F" w:rsidRDefault="00C9775F" w:rsidP="00C775A6">
            <w:pPr>
              <w:spacing w:before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.588</w:t>
            </w:r>
          </w:p>
          <w:p w:rsidR="00C9775F" w:rsidRPr="00840475" w:rsidRDefault="00C9775F" w:rsidP="00C775A6">
            <w:pPr>
              <w:spacing w:before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5F" w:rsidRDefault="00C9775F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C9775F" w:rsidRDefault="00CA1860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>-0.267 to 0.011</w:t>
            </w:r>
          </w:p>
          <w:p w:rsidR="00C9775F" w:rsidRDefault="00C9775F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>-0.181 to 0.103</w:t>
            </w:r>
          </w:p>
          <w:p w:rsidR="00C9775F" w:rsidRPr="00840475" w:rsidRDefault="00C9775F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>-0.307 to -0.027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C9775F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val="nl-NL" w:eastAsia="nl-NL"/>
              </w:rPr>
            </w:pPr>
            <w:r w:rsidRPr="00C9775F">
              <w:rPr>
                <w:rFonts w:eastAsia="Times New Roman"/>
                <w:bCs/>
                <w:i/>
                <w:sz w:val="20"/>
                <w:szCs w:val="20"/>
                <w:lang w:val="nl-NL" w:eastAsia="nl-NL"/>
              </w:rPr>
              <w:t>HbA1c</w:t>
            </w:r>
            <w:r w:rsidR="00C9775F" w:rsidRPr="00C9775F">
              <w:rPr>
                <w:rFonts w:eastAsia="Times New Roman"/>
                <w:bCs/>
                <w:i/>
                <w:sz w:val="20"/>
                <w:szCs w:val="20"/>
                <w:lang w:val="nl-NL" w:eastAsia="nl-NL"/>
              </w:rPr>
              <w:t xml:space="preserve"> (mmol/mol</w:t>
            </w:r>
            <w:r w:rsidR="00C9775F">
              <w:rPr>
                <w:rFonts w:eastAsia="Times New Roman"/>
                <w:bCs/>
                <w:i/>
                <w:sz w:val="20"/>
                <w:szCs w:val="20"/>
                <w:lang w:val="nl-NL" w:eastAsia="nl-NL"/>
              </w:rPr>
              <w:t>)</w:t>
            </w:r>
            <w:r w:rsidRPr="00C9775F">
              <w:rPr>
                <w:rFonts w:eastAsia="Times New Roman"/>
                <w:b/>
                <w:bCs/>
                <w:sz w:val="20"/>
                <w:szCs w:val="20"/>
                <w:lang w:val="nl-NL" w:eastAsia="nl-NL"/>
              </w:rPr>
              <w:br/>
              <w:t xml:space="preserve">     </w:t>
            </w:r>
            <w:r w:rsidRPr="00C9775F">
              <w:rPr>
                <w:rFonts w:eastAsia="Times New Roman"/>
                <w:bCs/>
                <w:sz w:val="20"/>
                <w:szCs w:val="20"/>
                <w:lang w:val="nl-NL" w:eastAsia="nl-NL"/>
              </w:rPr>
              <w:t>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9775F">
              <w:rPr>
                <w:rFonts w:eastAsia="Times New Roman"/>
                <w:bCs/>
                <w:sz w:val="20"/>
                <w:szCs w:val="20"/>
                <w:lang w:val="nl-NL" w:eastAsia="nl-NL"/>
              </w:rPr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>-1.395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sz w:val="20"/>
                <w:szCs w:val="20"/>
              </w:rPr>
              <w:t>-0.426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>-1.821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775A6">
            <w:pPr>
              <w:spacing w:before="0" w:line="480" w:lineRule="auto"/>
              <w:rPr>
                <w:sz w:val="20"/>
                <w:szCs w:val="20"/>
              </w:rPr>
            </w:pP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>.072</w:t>
            </w: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>.588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>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 xml:space="preserve">-2.916 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to </w:t>
            </w:r>
            <w:r w:rsidRPr="00840475">
              <w:rPr>
                <w:sz w:val="20"/>
                <w:szCs w:val="20"/>
              </w:rPr>
              <w:t>0.126</w:t>
            </w:r>
          </w:p>
          <w:p w:rsidR="00C775A6" w:rsidRPr="00840475" w:rsidRDefault="00C775A6" w:rsidP="00C775A6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 xml:space="preserve">-1.974 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to </w:t>
            </w:r>
            <w:r w:rsidRPr="00840475">
              <w:rPr>
                <w:sz w:val="20"/>
                <w:szCs w:val="20"/>
              </w:rPr>
              <w:t>1.122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 xml:space="preserve">-3.353 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to </w:t>
            </w:r>
            <w:r w:rsidRPr="00840475">
              <w:rPr>
                <w:sz w:val="20"/>
                <w:szCs w:val="20"/>
              </w:rPr>
              <w:t>-0.290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132F56">
            <w:pPr>
              <w:spacing w:before="0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Ratio of geometric averages</w:t>
            </w:r>
            <w:r w:rsidR="00C31B09" w:rsidRPr="00840475">
              <w:rPr>
                <w:rFonts w:eastAsia="Times New Roman"/>
                <w:bCs/>
                <w:sz w:val="20"/>
                <w:szCs w:val="20"/>
                <w:vertAlign w:val="superscript"/>
                <w:lang w:eastAsia="nl-NL"/>
              </w:rPr>
              <w:t>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95%-CI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HFS-W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lastRenderedPageBreak/>
              <w:t xml:space="preserve">     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lastRenderedPageBreak/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>0.862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0.952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lastRenderedPageBreak/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>.086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.576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lastRenderedPageBreak/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>0.729 to 1.021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0.802 to 1.131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0.693 to 0.974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lastRenderedPageBreak/>
              <w:t>PAID-SF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>    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T0-T2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0.895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0.899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0.806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.286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.315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.039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0.731 to 1.096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0.732 to 1.106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0.656 to 0.989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740BC1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Estimated change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95%-CI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DMSRQ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>    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3.280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1.116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4.396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&lt;.001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.182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&lt;.001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1.670 to 4.890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-0.522 to 2.754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2.774 to 6.019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PSQI item 1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>    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sz w:val="20"/>
                <w:szCs w:val="20"/>
              </w:rPr>
              <w:t>-0.101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>-0.006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>-0.107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 </w:t>
            </w:r>
            <w:r w:rsidRPr="00840475">
              <w:rPr>
                <w:sz w:val="20"/>
                <w:szCs w:val="20"/>
              </w:rPr>
              <w:t>.318</w:t>
            </w:r>
          </w:p>
          <w:p w:rsidR="00C775A6" w:rsidRPr="00840475" w:rsidRDefault="00C775A6" w:rsidP="00CA56EF">
            <w:pPr>
              <w:spacing w:before="0" w:line="480" w:lineRule="auto"/>
              <w:rPr>
                <w:sz w:val="20"/>
                <w:szCs w:val="20"/>
              </w:rPr>
            </w:pPr>
            <w:r w:rsidRPr="00840475">
              <w:rPr>
                <w:sz w:val="20"/>
                <w:szCs w:val="20"/>
              </w:rPr>
              <w:t>.950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>.292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sz w:val="20"/>
                <w:szCs w:val="20"/>
              </w:rPr>
              <w:t xml:space="preserve">-0.299 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to </w:t>
            </w:r>
            <w:r w:rsidRPr="00840475">
              <w:rPr>
                <w:sz w:val="20"/>
                <w:szCs w:val="20"/>
              </w:rPr>
              <w:t>0.097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 xml:space="preserve">-0.208 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to </w:t>
            </w:r>
            <w:r w:rsidRPr="00840475">
              <w:rPr>
                <w:sz w:val="20"/>
                <w:szCs w:val="20"/>
              </w:rPr>
              <w:t>0.195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sz w:val="20"/>
                <w:szCs w:val="20"/>
              </w:rPr>
              <w:t xml:space="preserve">-0.307 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to </w:t>
            </w:r>
            <w:r w:rsidRPr="00840475">
              <w:rPr>
                <w:sz w:val="20"/>
                <w:szCs w:val="20"/>
              </w:rPr>
              <w:t>0.093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132F56">
            <w:pPr>
              <w:spacing w:before="0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nl-NL"/>
              </w:rPr>
            </w:pPr>
            <w:r w:rsidRPr="00840475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Ratio of geometric averages</w:t>
            </w:r>
            <w:r w:rsidR="00C31B09" w:rsidRPr="00840475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nl-NL"/>
              </w:rPr>
              <w:t>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5A6" w:rsidRPr="00840475" w:rsidRDefault="00C775A6" w:rsidP="00CA56EF">
            <w:pPr>
              <w:tabs>
                <w:tab w:val="left" w:pos="1358"/>
              </w:tabs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95%-CI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PSQI item 2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1.077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0.888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0.957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.139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.021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.382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0.976 to 1.189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0.803 to 0.982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0.866 to 1.057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PSQI item 3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0.960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0.986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.202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.671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>0.901 to 1.022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0.925 to 1.051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0.889 to 1.009</w:t>
            </w:r>
          </w:p>
        </w:tc>
      </w:tr>
      <w:tr w:rsidR="00C775A6" w:rsidRPr="00840475" w:rsidTr="00CA56EF">
        <w:trPr>
          <w:trHeight w:val="273"/>
        </w:trPr>
        <w:tc>
          <w:tcPr>
            <w:tcW w:w="40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132F56">
            <w:pPr>
              <w:spacing w:before="0" w:line="398" w:lineRule="atLeast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132F56">
            <w:pPr>
              <w:spacing w:before="0"/>
              <w:rPr>
                <w:rFonts w:eastAsia="Times New Roman"/>
                <w:i/>
                <w:sz w:val="20"/>
                <w:szCs w:val="20"/>
                <w:vertAlign w:val="superscript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OR</w:t>
            </w:r>
            <w:r w:rsidR="00C31B09" w:rsidRPr="00840475">
              <w:rPr>
                <w:sz w:val="20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132F56">
            <w:pPr>
              <w:spacing w:before="0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132F56">
            <w:pPr>
              <w:spacing w:before="0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95%-CI</w:t>
            </w:r>
          </w:p>
        </w:tc>
      </w:tr>
      <w:tr w:rsidR="00C775A6" w:rsidRPr="00840475" w:rsidTr="00033B04">
        <w:trPr>
          <w:trHeight w:val="405"/>
        </w:trPr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SDSCA</w:t>
            </w:r>
            <w:r w:rsidRPr="00840475">
              <w:rPr>
                <w:rFonts w:eastAsia="Times New Roman"/>
                <w:b/>
                <w:bCs/>
                <w:sz w:val="20"/>
                <w:szCs w:val="20"/>
                <w:lang w:eastAsia="nl-NL"/>
              </w:rPr>
              <w:br/>
              <w:t xml:space="preserve">     </w:t>
            </w: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sz w:val="20"/>
                <w:szCs w:val="20"/>
                <w:lang w:eastAsia="nl-NL"/>
              </w:rPr>
              <w:lastRenderedPageBreak/>
              <w:t>     T0-T2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5A6" w:rsidRPr="00840475" w:rsidRDefault="00C775A6" w:rsidP="00CA56EF">
            <w:pPr>
              <w:autoSpaceDE w:val="0"/>
              <w:autoSpaceDN w:val="0"/>
              <w:adjustRightInd w:val="0"/>
              <w:spacing w:before="0" w:line="480" w:lineRule="auto"/>
              <w:ind w:right="60"/>
              <w:rPr>
                <w:sz w:val="20"/>
                <w:szCs w:val="20"/>
                <w:vertAlign w:val="superscript"/>
              </w:rPr>
            </w:pPr>
            <w:r w:rsidRPr="00840475">
              <w:rPr>
                <w:sz w:val="20"/>
                <w:szCs w:val="20"/>
              </w:rPr>
              <w:lastRenderedPageBreak/>
              <w:br/>
              <w:t>1.495</w:t>
            </w:r>
          </w:p>
          <w:p w:rsidR="00C775A6" w:rsidRPr="00840475" w:rsidRDefault="00C775A6" w:rsidP="00CA56EF">
            <w:pPr>
              <w:autoSpaceDE w:val="0"/>
              <w:autoSpaceDN w:val="0"/>
              <w:adjustRightInd w:val="0"/>
              <w:spacing w:before="0" w:line="480" w:lineRule="auto"/>
              <w:ind w:right="60"/>
              <w:rPr>
                <w:sz w:val="20"/>
                <w:szCs w:val="20"/>
                <w:vertAlign w:val="superscript"/>
              </w:rPr>
            </w:pPr>
            <w:r w:rsidRPr="00840475">
              <w:rPr>
                <w:sz w:val="20"/>
                <w:szCs w:val="20"/>
              </w:rPr>
              <w:t>0.820</w:t>
            </w:r>
          </w:p>
          <w:p w:rsidR="00C775A6" w:rsidRPr="00840475" w:rsidRDefault="00C775A6" w:rsidP="00CA56EF">
            <w:pPr>
              <w:autoSpaceDE w:val="0"/>
              <w:autoSpaceDN w:val="0"/>
              <w:adjustRightInd w:val="0"/>
              <w:spacing w:before="0" w:line="480" w:lineRule="auto"/>
              <w:ind w:right="60"/>
              <w:rPr>
                <w:sz w:val="20"/>
                <w:szCs w:val="20"/>
                <w:vertAlign w:val="superscript"/>
              </w:rPr>
            </w:pPr>
            <w:r w:rsidRPr="00840475">
              <w:rPr>
                <w:sz w:val="20"/>
                <w:szCs w:val="20"/>
              </w:rPr>
              <w:lastRenderedPageBreak/>
              <w:t>1.226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FF0000"/>
                <w:sz w:val="20"/>
                <w:szCs w:val="20"/>
                <w:lang w:eastAsia="nl-NL"/>
              </w:rPr>
              <w:lastRenderedPageBreak/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.224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.565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lastRenderedPageBreak/>
              <w:t>.531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lastRenderedPageBreak/>
              <w:br/>
              <w:t>0.781 to 2.863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0.416 to 1.616</w:t>
            </w:r>
          </w:p>
          <w:p w:rsidR="00C775A6" w:rsidRPr="00840475" w:rsidRDefault="00C775A6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lastRenderedPageBreak/>
              <w:t>0.647 to 2.321</w:t>
            </w:r>
          </w:p>
        </w:tc>
      </w:tr>
    </w:tbl>
    <w:p w:rsidR="00C775A6" w:rsidRPr="00840475" w:rsidRDefault="00C31B09" w:rsidP="00132F56">
      <w:pPr>
        <w:spacing w:before="0"/>
        <w:rPr>
          <w:rFonts w:eastAsia="Times New Roman"/>
          <w:color w:val="212121"/>
          <w:sz w:val="20"/>
          <w:szCs w:val="20"/>
          <w:lang w:eastAsia="nl-NL"/>
        </w:rPr>
      </w:pPr>
      <w:r w:rsidRPr="00840475">
        <w:rPr>
          <w:rFonts w:eastAsia="Times New Roman"/>
          <w:color w:val="212121"/>
          <w:sz w:val="20"/>
          <w:szCs w:val="20"/>
          <w:vertAlign w:val="superscript"/>
          <w:lang w:eastAsia="nl-NL"/>
        </w:rPr>
        <w:lastRenderedPageBreak/>
        <w:t>*</w:t>
      </w:r>
      <w:r w:rsidR="00C775A6" w:rsidRPr="00840475">
        <w:rPr>
          <w:rFonts w:eastAsia="Times New Roman"/>
          <w:color w:val="212121"/>
          <w:sz w:val="20"/>
          <w:szCs w:val="20"/>
          <w:lang w:eastAsia="nl-NL"/>
        </w:rPr>
        <w:t>Odds Ratio for the groups “zero hypoglycemic events” (reference category) and “one or more hypoglycemic events”</w:t>
      </w:r>
      <w:r w:rsidR="00C775A6" w:rsidRPr="00840475">
        <w:rPr>
          <w:rFonts w:eastAsia="Times New Roman"/>
          <w:color w:val="212121"/>
          <w:sz w:val="20"/>
          <w:szCs w:val="20"/>
          <w:lang w:eastAsia="nl-NL"/>
        </w:rPr>
        <w:br/>
      </w:r>
      <w:r w:rsidRPr="00840475">
        <w:rPr>
          <w:rFonts w:eastAsia="Times New Roman"/>
          <w:color w:val="212121"/>
          <w:sz w:val="20"/>
          <w:vertAlign w:val="superscript"/>
          <w:lang w:eastAsia="nl-NL"/>
        </w:rPr>
        <w:t>†</w:t>
      </w:r>
      <w:r w:rsidR="00C775A6" w:rsidRPr="00840475">
        <w:rPr>
          <w:rFonts w:eastAsia="Times New Roman"/>
          <w:color w:val="212121"/>
          <w:sz w:val="20"/>
          <w:lang w:eastAsia="nl-NL"/>
        </w:rPr>
        <w:t>HFS-w, PAID-SF, PSQI item 2 and PSQI item 3 were</w:t>
      </w:r>
      <w:r w:rsidR="00925E7F" w:rsidRPr="00840475">
        <w:rPr>
          <w:rFonts w:eastAsia="Times New Roman"/>
          <w:color w:val="212121"/>
          <w:sz w:val="20"/>
          <w:lang w:eastAsia="nl-NL"/>
        </w:rPr>
        <w:t xml:space="preserve"> analyzed as</w:t>
      </w:r>
      <w:r w:rsidR="00C775A6" w:rsidRPr="00840475">
        <w:rPr>
          <w:rFonts w:eastAsia="Times New Roman"/>
          <w:color w:val="212121"/>
          <w:sz w:val="20"/>
          <w:lang w:eastAsia="nl-NL"/>
        </w:rPr>
        <w:t xml:space="preserve"> log transformed and back transformed</w:t>
      </w:r>
      <w:r w:rsidR="00925E7F" w:rsidRPr="00840475">
        <w:rPr>
          <w:rFonts w:eastAsia="Times New Roman"/>
          <w:color w:val="212121"/>
          <w:sz w:val="20"/>
          <w:lang w:eastAsia="nl-NL"/>
        </w:rPr>
        <w:t xml:space="preserve"> afterwards</w:t>
      </w:r>
      <w:r w:rsidR="00C775A6" w:rsidRPr="00840475">
        <w:rPr>
          <w:rFonts w:eastAsia="Times New Roman"/>
          <w:color w:val="212121"/>
          <w:sz w:val="20"/>
          <w:lang w:eastAsia="nl-NL"/>
        </w:rPr>
        <w:t>, resulting i</w:t>
      </w:r>
      <w:r w:rsidR="007647C9">
        <w:rPr>
          <w:rFonts w:eastAsia="Times New Roman"/>
          <w:color w:val="212121"/>
          <w:sz w:val="20"/>
          <w:lang w:eastAsia="nl-NL"/>
        </w:rPr>
        <w:t>n a ratio of geometric averages</w:t>
      </w:r>
      <w:r w:rsidR="00447AFA" w:rsidRPr="00840475">
        <w:rPr>
          <w:rFonts w:eastAsia="Times New Roman"/>
          <w:color w:val="212121"/>
          <w:lang w:eastAsia="nl-NL"/>
        </w:rPr>
        <w:br/>
      </w:r>
      <w:r w:rsidRPr="00840475">
        <w:rPr>
          <w:sz w:val="20"/>
          <w:vertAlign w:val="superscript"/>
        </w:rPr>
        <w:t>‡</w:t>
      </w:r>
      <w:r w:rsidR="00C775A6" w:rsidRPr="00840475">
        <w:rPr>
          <w:rFonts w:eastAsia="Times New Roman"/>
          <w:color w:val="212121"/>
          <w:sz w:val="20"/>
          <w:lang w:eastAsia="nl-NL"/>
        </w:rPr>
        <w:t>Odds Ratio for the groups “less than 7 days a week adherent” (reference category) and “7 days a week adherent” </w:t>
      </w:r>
    </w:p>
    <w:p w:rsidR="00132F56" w:rsidRPr="00840475" w:rsidRDefault="00132F56">
      <w:pPr>
        <w:spacing w:before="0" w:after="200" w:line="276" w:lineRule="auto"/>
      </w:pPr>
    </w:p>
    <w:p w:rsidR="00C82A41" w:rsidRPr="00A82728" w:rsidRDefault="00C82A41" w:rsidP="00C82A41">
      <w:pPr>
        <w:rPr>
          <w:rFonts w:eastAsia="Times New Roman"/>
          <w:color w:val="000000" w:themeColor="text1"/>
          <w:lang w:eastAsia="nl-NL"/>
        </w:rPr>
      </w:pPr>
      <w:r>
        <w:br w:type="page"/>
      </w:r>
      <w:r>
        <w:rPr>
          <w:rFonts w:eastAsia="Times New Roman"/>
          <w:bCs/>
          <w:color w:val="212121"/>
          <w:lang w:eastAsia="nl-NL"/>
        </w:rPr>
        <w:lastRenderedPageBreak/>
        <w:t>Appendix 2</w:t>
      </w:r>
      <w:r w:rsidR="00C36D29">
        <w:rPr>
          <w:rFonts w:eastAsia="Times New Roman"/>
          <w:bCs/>
          <w:color w:val="212121"/>
          <w:lang w:eastAsia="nl-NL"/>
        </w:rPr>
        <w:t xml:space="preserve"> I</w:t>
      </w:r>
      <w:r>
        <w:rPr>
          <w:rFonts w:eastAsia="Times New Roman"/>
          <w:bCs/>
          <w:color w:val="212121"/>
          <w:lang w:eastAsia="nl-NL"/>
        </w:rPr>
        <w:t>mputed WHO-5 and DMSRQ total scores</w:t>
      </w:r>
      <w:r w:rsidR="00C36D29">
        <w:rPr>
          <w:rFonts w:eastAsia="Times New Roman"/>
          <w:bCs/>
          <w:color w:val="212121"/>
          <w:lang w:eastAsia="nl-NL"/>
        </w:rPr>
        <w:t xml:space="preserve"> 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2268"/>
      </w:tblGrid>
      <w:tr w:rsidR="00C82A41" w:rsidRPr="00A82728" w:rsidTr="00CA56EF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A82728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Baseline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A82728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Three months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A82728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Six months</w:t>
            </w:r>
          </w:p>
        </w:tc>
      </w:tr>
      <w:tr w:rsidR="00C82A41" w:rsidRPr="00A82728" w:rsidTr="00CA56EF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41" w:rsidRPr="00A82728" w:rsidRDefault="001845D6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/>
                <w:i/>
                <w:sz w:val="20"/>
                <w:szCs w:val="20"/>
                <w:lang w:eastAsia="nl-NL"/>
              </w:rPr>
              <w:t xml:space="preserve">WHO-5 </w:t>
            </w:r>
          </w:p>
          <w:p w:rsidR="00C82A41" w:rsidRPr="0070648E" w:rsidRDefault="00C82A41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     Mean</w:t>
            </w:r>
            <w:r w:rsidR="00F35C80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C82A41" w:rsidRPr="00A82728" w:rsidRDefault="006C3052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61.65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C82A41" w:rsidRPr="00A82728" w:rsidRDefault="006C3052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62.66</w:t>
            </w:r>
            <w:r w:rsidR="00C82A41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C82A41" w:rsidRPr="00A82728" w:rsidRDefault="006C3052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63.87</w:t>
            </w:r>
          </w:p>
        </w:tc>
      </w:tr>
      <w:tr w:rsidR="00C82A41" w:rsidRPr="00A82728" w:rsidTr="00CA56EF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A41" w:rsidRPr="00A82728" w:rsidRDefault="001845D6" w:rsidP="00CA56EF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/>
                <w:i/>
                <w:sz w:val="20"/>
                <w:szCs w:val="20"/>
                <w:lang w:eastAsia="nl-NL"/>
              </w:rPr>
              <w:t xml:space="preserve">DMSRQ </w:t>
            </w:r>
          </w:p>
          <w:p w:rsidR="00C82A41" w:rsidRPr="0070648E" w:rsidRDefault="00C82A41" w:rsidP="00CA56EF">
            <w:pPr>
              <w:spacing w:before="0" w:line="480" w:lineRule="auto"/>
              <w:rPr>
                <w:rFonts w:eastAsia="Times New Roman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     Mean</w:t>
            </w:r>
            <w:r w:rsidR="00F35C80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C82A41" w:rsidRPr="00A82728" w:rsidRDefault="008728D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32.66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C82A41" w:rsidRPr="00A82728" w:rsidRDefault="008728D6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35.94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C82A41" w:rsidRPr="00A82728" w:rsidRDefault="00C82A41" w:rsidP="00CA56EF">
            <w:pPr>
              <w:spacing w:before="0"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37.0</w:t>
            </w:r>
            <w:r w:rsidR="008728D6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7</w:t>
            </w:r>
          </w:p>
        </w:tc>
      </w:tr>
    </w:tbl>
    <w:p w:rsidR="00C82A41" w:rsidRPr="00A82728" w:rsidRDefault="00C82A41" w:rsidP="00C82A41">
      <w:pPr>
        <w:spacing w:before="0"/>
        <w:rPr>
          <w:b/>
        </w:rPr>
      </w:pPr>
      <w:r w:rsidRPr="00A82728">
        <w:rPr>
          <w:sz w:val="20"/>
          <w:vertAlign w:val="superscript"/>
        </w:rPr>
        <w:t>*</w:t>
      </w:r>
      <w:r w:rsidRPr="00A82728">
        <w:rPr>
          <w:rFonts w:eastAsia="Times New Roman"/>
          <w:color w:val="212121"/>
          <w:sz w:val="20"/>
          <w:lang w:eastAsia="nl-NL"/>
        </w:rPr>
        <w:t xml:space="preserve">Scores based on imputed items. </w:t>
      </w:r>
      <w:r w:rsidRPr="00A82728">
        <w:rPr>
          <w:sz w:val="20"/>
        </w:rPr>
        <w:t xml:space="preserve">Items for drop-outs were not imputed from the moment of drop-out on. When all items of a questionnaire were missing on a certain visit, no imputation on this questionnaire for the regarding visit would take place. Pooled results do not provide a </w:t>
      </w:r>
      <w:r w:rsidR="00F35C80">
        <w:rPr>
          <w:sz w:val="20"/>
        </w:rPr>
        <w:t>standard deviation</w:t>
      </w:r>
      <w:r w:rsidRPr="00A82728">
        <w:rPr>
          <w:sz w:val="20"/>
        </w:rPr>
        <w:br/>
      </w:r>
    </w:p>
    <w:p w:rsidR="00C82A41" w:rsidRDefault="00C82A41"/>
    <w:p w:rsidR="00C82A41" w:rsidRDefault="00C82A41">
      <w:r>
        <w:br w:type="page"/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985"/>
      </w:tblGrid>
      <w:tr w:rsidR="00132F56" w:rsidRPr="00840475" w:rsidTr="00CA56EF">
        <w:tc>
          <w:tcPr>
            <w:tcW w:w="10065" w:type="dxa"/>
            <w:gridSpan w:val="4"/>
            <w:tcBorders>
              <w:top w:val="nil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56" w:rsidRPr="00840475" w:rsidRDefault="00C82A41" w:rsidP="006354CB">
            <w:pPr>
              <w:spacing w:before="0"/>
              <w:rPr>
                <w:rFonts w:eastAsia="Times New Roman"/>
                <w:color w:val="000000" w:themeColor="text1"/>
                <w:lang w:eastAsia="nl-NL"/>
              </w:rPr>
            </w:pPr>
            <w:r>
              <w:rPr>
                <w:rFonts w:eastAsia="Times New Roman"/>
                <w:bCs/>
                <w:color w:val="212121"/>
                <w:lang w:eastAsia="nl-NL"/>
              </w:rPr>
              <w:lastRenderedPageBreak/>
              <w:t>Appendix 3</w:t>
            </w:r>
            <w:r w:rsidR="00132F56" w:rsidRPr="00840475">
              <w:rPr>
                <w:rFonts w:eastAsia="Times New Roman"/>
                <w:bCs/>
                <w:color w:val="212121"/>
                <w:lang w:eastAsia="nl-NL"/>
              </w:rPr>
              <w:t xml:space="preserve"> Changes in DMSRQ items</w:t>
            </w:r>
            <w:r w:rsidR="006354CB">
              <w:rPr>
                <w:rFonts w:eastAsia="Times New Roman"/>
                <w:bCs/>
                <w:color w:val="212121"/>
                <w:lang w:eastAsia="nl-NL"/>
              </w:rPr>
              <w:t xml:space="preserve"> over time</w:t>
            </w:r>
            <w:r w:rsidR="00C31B09" w:rsidRPr="00840475">
              <w:rPr>
                <w:rFonts w:eastAsia="Times New Roman"/>
                <w:bCs/>
                <w:color w:val="212121"/>
                <w:vertAlign w:val="superscript"/>
                <w:lang w:eastAsia="nl-NL"/>
              </w:rPr>
              <w:t>*</w:t>
            </w:r>
          </w:p>
        </w:tc>
      </w:tr>
      <w:tr w:rsidR="00132F56" w:rsidRPr="00840475" w:rsidTr="00CA56EF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56" w:rsidRPr="00840475" w:rsidRDefault="00413E20" w:rsidP="00413E20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t>DMSRQ</w:t>
            </w: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tab/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56" w:rsidRPr="00840475" w:rsidRDefault="00132F56" w:rsidP="00132F56">
            <w:pPr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Baseline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56" w:rsidRPr="00840475" w:rsidRDefault="00132F56" w:rsidP="00132F56">
            <w:pPr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Three months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F56" w:rsidRPr="00840475" w:rsidRDefault="00132F56" w:rsidP="00132F56">
            <w:pPr>
              <w:spacing w:before="0" w:line="480" w:lineRule="auto"/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i/>
                <w:color w:val="000000" w:themeColor="text1"/>
                <w:sz w:val="20"/>
                <w:szCs w:val="20"/>
                <w:lang w:eastAsia="nl-NL"/>
              </w:rPr>
              <w:t>Six months</w:t>
            </w:r>
          </w:p>
        </w:tc>
      </w:tr>
      <w:tr w:rsidR="00132F56" w:rsidRPr="00840475" w:rsidTr="00CA56EF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t>Item 1</w:t>
            </w:r>
            <w:r w:rsidR="00C31B09" w:rsidRPr="00840475">
              <w:rPr>
                <w:rFonts w:eastAsia="Times New Roman"/>
                <w:sz w:val="20"/>
                <w:szCs w:val="20"/>
                <w:vertAlign w:val="superscript"/>
                <w:lang w:eastAsia="nl-NL"/>
              </w:rPr>
              <w:t>†,‡</w:t>
            </w: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br/>
              <w:t>satisfaction with…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A.</w:t>
            </w:r>
            <w:r w:rsidRPr="00840475">
              <w:rPr>
                <w:sz w:val="20"/>
                <w:szCs w:val="20"/>
              </w:rPr>
              <w:t xml:space="preserve"> appropriateness of diabetes</w:t>
            </w:r>
            <w:r w:rsidRPr="00840475">
              <w:rPr>
                <w:sz w:val="20"/>
                <w:szCs w:val="20"/>
              </w:rPr>
              <w:br/>
              <w:t xml:space="preserve">     medication </w:t>
            </w:r>
            <w:r w:rsidRPr="00840475">
              <w:rPr>
                <w:sz w:val="20"/>
                <w:szCs w:val="20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B.</w:t>
            </w:r>
            <w:r w:rsidRPr="00840475">
              <w:rPr>
                <w:sz w:val="20"/>
                <w:szCs w:val="20"/>
              </w:rPr>
              <w:t xml:space="preserve"> painfulness of diabetes medication</w:t>
            </w:r>
            <w:r w:rsidRPr="00840475">
              <w:rPr>
                <w:sz w:val="20"/>
                <w:szCs w:val="20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C. </w:t>
            </w:r>
            <w:r w:rsidRPr="00840475">
              <w:rPr>
                <w:sz w:val="20"/>
                <w:szCs w:val="20"/>
              </w:rPr>
              <w:t>user friendliness of diabetes</w:t>
            </w:r>
            <w:r w:rsidRPr="00840475">
              <w:rPr>
                <w:sz w:val="20"/>
                <w:szCs w:val="20"/>
              </w:rPr>
              <w:br/>
              <w:t xml:space="preserve">     medication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t>Item 2</w:t>
            </w:r>
            <w:r w:rsidR="00C31B09" w:rsidRPr="00840475">
              <w:rPr>
                <w:rFonts w:eastAsia="Times New Roman"/>
                <w:sz w:val="20"/>
                <w:szCs w:val="20"/>
                <w:vertAlign w:val="superscript"/>
                <w:lang w:eastAsia="nl-NL"/>
              </w:rPr>
              <w:t>†,‡</w:t>
            </w: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br/>
            </w:r>
            <w:r w:rsidRPr="00840475">
              <w:rPr>
                <w:i/>
                <w:sz w:val="20"/>
                <w:szCs w:val="20"/>
              </w:rPr>
              <w:t>extent to which the diabetes medication hinders…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A. </w:t>
            </w:r>
            <w:r w:rsidRPr="00840475">
              <w:rPr>
                <w:sz w:val="20"/>
                <w:szCs w:val="20"/>
              </w:rPr>
              <w:t>having a good night sleep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 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B.</w:t>
            </w:r>
            <w:r w:rsidRPr="00840475">
              <w:rPr>
                <w:sz w:val="20"/>
                <w:szCs w:val="20"/>
              </w:rPr>
              <w:t xml:space="preserve"> sleeping late when you want</w:t>
            </w:r>
            <w:r w:rsidRPr="00840475">
              <w:rPr>
                <w:sz w:val="20"/>
                <w:szCs w:val="20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C.</w:t>
            </w:r>
            <w:r w:rsidRPr="00840475">
              <w:rPr>
                <w:sz w:val="20"/>
                <w:szCs w:val="20"/>
              </w:rPr>
              <w:t xml:space="preserve"> eating when and what you want 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D. </w:t>
            </w:r>
            <w:r w:rsidRPr="00840475">
              <w:rPr>
                <w:sz w:val="20"/>
                <w:szCs w:val="20"/>
              </w:rPr>
              <w:t>to do sports when you want</w:t>
            </w:r>
            <w:r w:rsidRPr="00840475">
              <w:rPr>
                <w:sz w:val="20"/>
                <w:szCs w:val="20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lastRenderedPageBreak/>
              <w:t xml:space="preserve">     E. </w:t>
            </w:r>
            <w:r w:rsidRPr="00840475">
              <w:rPr>
                <w:sz w:val="20"/>
                <w:szCs w:val="20"/>
              </w:rPr>
              <w:t>doing as much sports as you want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sz w:val="20"/>
                <w:szCs w:val="20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F. </w:t>
            </w:r>
            <w:r w:rsidRPr="00840475">
              <w:rPr>
                <w:sz w:val="20"/>
                <w:szCs w:val="20"/>
              </w:rPr>
              <w:t>doing the kind of sports you want</w:t>
            </w:r>
            <w:r w:rsidRPr="00840475">
              <w:rPr>
                <w:sz w:val="20"/>
                <w:szCs w:val="20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t>Item 3</w:t>
            </w:r>
            <w:r w:rsidR="00C31B09" w:rsidRPr="00840475">
              <w:rPr>
                <w:sz w:val="20"/>
                <w:vertAlign w:val="superscript"/>
              </w:rPr>
              <w:t>§</w:t>
            </w: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t xml:space="preserve"> </w:t>
            </w: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br/>
            </w:r>
            <w:r w:rsidRPr="00840475">
              <w:rPr>
                <w:i/>
                <w:sz w:val="20"/>
                <w:szCs w:val="20"/>
              </w:rPr>
              <w:t>how well the diabetes medication</w:t>
            </w:r>
            <w:r w:rsidRPr="00840475">
              <w:rPr>
                <w:i/>
                <w:sz w:val="20"/>
                <w:szCs w:val="20"/>
              </w:rPr>
              <w:br/>
              <w:t>helps with…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A. </w:t>
            </w:r>
            <w:r w:rsidRPr="00840475">
              <w:rPr>
                <w:sz w:val="20"/>
                <w:szCs w:val="20"/>
              </w:rPr>
              <w:t>getting good blood glucose control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B.</w:t>
            </w:r>
            <w:r w:rsidRPr="00840475">
              <w:rPr>
                <w:sz w:val="20"/>
                <w:szCs w:val="20"/>
              </w:rPr>
              <w:t xml:space="preserve"> avoiding low blood sugar levels</w:t>
            </w:r>
            <w:r w:rsidRPr="00840475">
              <w:rPr>
                <w:sz w:val="20"/>
                <w:szCs w:val="20"/>
              </w:rPr>
              <w:br/>
              <w:t xml:space="preserve">     without snacks  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     C.</w:t>
            </w:r>
            <w:r w:rsidRPr="00840475">
              <w:rPr>
                <w:sz w:val="20"/>
                <w:szCs w:val="20"/>
              </w:rPr>
              <w:t xml:space="preserve"> avoiding low blood sugar levels</w:t>
            </w:r>
            <w:r w:rsidRPr="00840475">
              <w:rPr>
                <w:sz w:val="20"/>
                <w:szCs w:val="20"/>
              </w:rPr>
              <w:br/>
              <w:t xml:space="preserve">     during the night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     D. </w:t>
            </w:r>
            <w:r w:rsidRPr="00840475">
              <w:rPr>
                <w:sz w:val="20"/>
                <w:szCs w:val="20"/>
              </w:rPr>
              <w:t>avoiding high blood sugar levels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     E. </w:t>
            </w:r>
            <w:r w:rsidRPr="00840475">
              <w:rPr>
                <w:sz w:val="20"/>
                <w:szCs w:val="20"/>
              </w:rPr>
              <w:t>avoiding weight gaining</w:t>
            </w:r>
            <w:r w:rsidR="00C31B09" w:rsidRPr="00840475">
              <w:rPr>
                <w:sz w:val="20"/>
                <w:vertAlign w:val="superscript"/>
              </w:rPr>
              <w:t>‡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</w:t>
            </w:r>
            <w:r w:rsidRPr="00840475">
              <w:rPr>
                <w:rFonts w:eastAsia="Times New Roman"/>
                <w:b/>
                <w:sz w:val="20"/>
                <w:szCs w:val="20"/>
                <w:lang w:eastAsia="nl-NL"/>
              </w:rPr>
              <w:t>F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</w:t>
            </w:r>
            <w:r w:rsidRPr="00840475">
              <w:rPr>
                <w:sz w:val="20"/>
                <w:szCs w:val="20"/>
              </w:rPr>
              <w:t xml:space="preserve"> losing weight</w:t>
            </w:r>
            <w:r w:rsidR="00C31B09" w:rsidRPr="00840475">
              <w:rPr>
                <w:sz w:val="20"/>
                <w:vertAlign w:val="superscript"/>
              </w:rPr>
              <w:t>‡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  <w:t xml:space="preserve">     </w:t>
            </w:r>
            <w:r w:rsidRPr="00840475">
              <w:rPr>
                <w:rFonts w:eastAsia="Times New Roman"/>
                <w:b/>
                <w:sz w:val="20"/>
                <w:szCs w:val="20"/>
                <w:lang w:eastAsia="nl-NL"/>
              </w:rPr>
              <w:t>G</w:t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. </w:t>
            </w:r>
            <w:r w:rsidRPr="00840475">
              <w:rPr>
                <w:sz w:val="20"/>
                <w:szCs w:val="20"/>
              </w:rPr>
              <w:t>controlling appetite</w:t>
            </w:r>
            <w:r w:rsidR="00C31B09" w:rsidRPr="00840475">
              <w:rPr>
                <w:sz w:val="20"/>
                <w:vertAlign w:val="superscript"/>
              </w:rPr>
              <w:t>‡</w:t>
            </w:r>
            <w:r w:rsidRPr="00840475">
              <w:rPr>
                <w:sz w:val="20"/>
                <w:szCs w:val="20"/>
              </w:rPr>
              <w:br/>
            </w:r>
            <w:r w:rsidRPr="00840475">
              <w:rPr>
                <w:rFonts w:eastAsia="Times New Roman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t>Item 4</w:t>
            </w:r>
            <w:r w:rsidR="00C31B09" w:rsidRPr="00840475">
              <w:rPr>
                <w:rFonts w:eastAsia="Times New Roman"/>
                <w:sz w:val="20"/>
                <w:szCs w:val="20"/>
                <w:vertAlign w:val="superscript"/>
                <w:lang w:eastAsia="nl-NL"/>
              </w:rPr>
              <w:t>†,</w:t>
            </w:r>
            <w:r w:rsidR="00C31B09" w:rsidRPr="00840475">
              <w:rPr>
                <w:sz w:val="20"/>
                <w:vertAlign w:val="superscript"/>
              </w:rPr>
              <w:t>‡</w:t>
            </w:r>
            <w:r w:rsidRPr="00840475">
              <w:rPr>
                <w:rFonts w:eastAsia="Times New Roman"/>
                <w:i/>
                <w:sz w:val="20"/>
                <w:szCs w:val="20"/>
                <w:lang w:eastAsia="nl-NL"/>
              </w:rPr>
              <w:br/>
            </w:r>
            <w:r w:rsidRPr="00840475">
              <w:rPr>
                <w:i/>
                <w:sz w:val="20"/>
                <w:szCs w:val="20"/>
              </w:rPr>
              <w:t>general satisfaction with the diabetes medication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56" w:rsidRPr="00840475" w:rsidRDefault="00413E20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1.97 (0.76)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(1.25 – 2.75)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1.90 (0.82)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(1.00 – 3.00)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2.10 (0.78)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2.30 (0.97)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2.35 (0.98)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413E20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.96 (1.01)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(1.00 – 3.00)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2.45 (0.92)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>2.41 (0.92)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2.42 (0.93)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2.10 (1.02)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1.89 (1.08)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2.03 (1.10)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1.74 (1.03)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1.21 (1.14)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1.00 (0.00 – 2.00)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0.83 (1.09)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0.00 (0.00 – 1.00)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1.45 (1.12)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1.00 (1.00 – 2.00)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1.71 (0.75)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(1.00 – 2.00)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56" w:rsidRPr="00840475" w:rsidRDefault="00413E20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2.24 (0.74)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2.23 (0.83)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2.38 (0.67)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2.39 (0.92)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2.26 (1.10)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(1.00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413E20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.99 (1.03)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(1.00 – 3.00)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2.50 (0.89)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>2.53 (0.77)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2.54 (0.84)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2.26 (0.98)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2.24 (0.86)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2.43 (0.90)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1.98 (0.95)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1.41 (1.07)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1.00 (1.00 – 2.00)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0.78 (1.03)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0.00 (0.00 – 1.00)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1.71 (1.10)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(1.00 – 2.00)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2.05 (0.70)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2.75)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F56" w:rsidRPr="00840475" w:rsidRDefault="00413E20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2.28 (0.62)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2.16 (0.82)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2.36 (0.68)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  <w:r w:rsidR="00132F56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2.51 (0.87)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2.57 (0.83)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(1.75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413E20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.15 (0.89)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2.42 (0.87)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="00413E20"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>2.41 (0.85)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2.50 (0.85)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3.00 (2.00 – 3.00)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2.39 (0.94)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2.31 (0.98)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2.43 (0.97)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2.04 (1.00)</w:t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1.53 (1.18)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1.00 (1.00 – 2.00)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0.93 (1.18)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0.00 (0.00 – 2.00)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</w:p>
          <w:p w:rsidR="00132F56" w:rsidRPr="00840475" w:rsidRDefault="00132F56" w:rsidP="00CA56EF">
            <w:pPr>
              <w:spacing w:line="480" w:lineRule="auto"/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1.77 (1.15)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(1.00 – 2.00)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2.20 (0.64)</w:t>
            </w: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br/>
              <w:t>2.00 (2.00 – 3.00)</w:t>
            </w:r>
          </w:p>
        </w:tc>
      </w:tr>
    </w:tbl>
    <w:p w:rsidR="00132F56" w:rsidRPr="00840475" w:rsidRDefault="00C31B09" w:rsidP="00132F56">
      <w:pPr>
        <w:spacing w:before="0" w:after="200"/>
        <w:rPr>
          <w:rFonts w:eastAsia="Times New Roman"/>
          <w:color w:val="000000" w:themeColor="text1"/>
          <w:sz w:val="20"/>
          <w:szCs w:val="20"/>
          <w:vertAlign w:val="superscript"/>
          <w:lang w:eastAsia="nl-NL"/>
        </w:rPr>
      </w:pPr>
      <w:r w:rsidRPr="00840475">
        <w:rPr>
          <w:rFonts w:eastAsia="Times New Roman"/>
          <w:color w:val="000000" w:themeColor="text1"/>
          <w:sz w:val="20"/>
          <w:szCs w:val="20"/>
          <w:vertAlign w:val="superscript"/>
          <w:lang w:eastAsia="nl-NL"/>
        </w:rPr>
        <w:lastRenderedPageBreak/>
        <w:t>*</w:t>
      </w:r>
      <w:r w:rsidR="00132F56" w:rsidRPr="00840475">
        <w:rPr>
          <w:sz w:val="20"/>
          <w:szCs w:val="20"/>
        </w:rPr>
        <w:t>Scores based on the original (non-imputed) data</w:t>
      </w:r>
      <w:r w:rsidR="00132F56" w:rsidRPr="00840475">
        <w:rPr>
          <w:sz w:val="20"/>
          <w:szCs w:val="20"/>
        </w:rPr>
        <w:br/>
      </w:r>
      <w:r w:rsidRPr="00840475">
        <w:rPr>
          <w:sz w:val="20"/>
          <w:szCs w:val="20"/>
          <w:vertAlign w:val="superscript"/>
        </w:rPr>
        <w:t>†</w:t>
      </w:r>
      <w:r w:rsidR="00132F56" w:rsidRPr="00840475">
        <w:rPr>
          <w:sz w:val="20"/>
          <w:szCs w:val="20"/>
        </w:rPr>
        <w:t>Item contains four categories ranging from 0 to 3</w:t>
      </w:r>
      <w:r w:rsidRPr="00840475">
        <w:rPr>
          <w:rFonts w:eastAsia="Times New Roman"/>
          <w:color w:val="000000" w:themeColor="text1"/>
          <w:sz w:val="20"/>
          <w:szCs w:val="20"/>
          <w:vertAlign w:val="superscript"/>
          <w:lang w:eastAsia="nl-NL"/>
        </w:rPr>
        <w:t xml:space="preserve"> </w:t>
      </w:r>
      <w:r w:rsidRPr="00840475">
        <w:rPr>
          <w:rFonts w:eastAsia="Times New Roman"/>
          <w:color w:val="000000" w:themeColor="text1"/>
          <w:sz w:val="20"/>
          <w:szCs w:val="20"/>
          <w:vertAlign w:val="superscript"/>
          <w:lang w:eastAsia="nl-NL"/>
        </w:rPr>
        <w:br/>
      </w:r>
      <w:r w:rsidRPr="00840475">
        <w:rPr>
          <w:sz w:val="20"/>
          <w:vertAlign w:val="superscript"/>
        </w:rPr>
        <w:t>‡</w:t>
      </w:r>
      <w:r w:rsidR="00132F56" w:rsidRPr="00840475">
        <w:rPr>
          <w:sz w:val="20"/>
          <w:szCs w:val="20"/>
        </w:rPr>
        <w:t>Since this item is (on some visits) skewed distributed, both the mean (SD) and median (25</w:t>
      </w:r>
      <w:r w:rsidR="00132F56" w:rsidRPr="00840475">
        <w:rPr>
          <w:sz w:val="20"/>
          <w:szCs w:val="20"/>
          <w:vertAlign w:val="superscript"/>
        </w:rPr>
        <w:t>th</w:t>
      </w:r>
      <w:r w:rsidR="00132F56" w:rsidRPr="00840475">
        <w:rPr>
          <w:sz w:val="20"/>
          <w:szCs w:val="20"/>
        </w:rPr>
        <w:t xml:space="preserve"> percentile – 75</w:t>
      </w:r>
      <w:r w:rsidR="00132F56" w:rsidRPr="00840475">
        <w:rPr>
          <w:sz w:val="20"/>
          <w:szCs w:val="20"/>
          <w:vertAlign w:val="superscript"/>
        </w:rPr>
        <w:t>th</w:t>
      </w:r>
      <w:r w:rsidR="00132F56" w:rsidRPr="00840475">
        <w:rPr>
          <w:sz w:val="20"/>
          <w:szCs w:val="20"/>
        </w:rPr>
        <w:t xml:space="preserve"> percentile) are given</w:t>
      </w:r>
      <w:r w:rsidRPr="00840475">
        <w:rPr>
          <w:rFonts w:eastAsia="Times New Roman"/>
          <w:color w:val="000000" w:themeColor="text1"/>
          <w:sz w:val="20"/>
          <w:szCs w:val="20"/>
          <w:vertAlign w:val="superscript"/>
          <w:lang w:eastAsia="nl-NL"/>
        </w:rPr>
        <w:br/>
      </w:r>
      <w:r w:rsidRPr="00840475">
        <w:rPr>
          <w:sz w:val="20"/>
          <w:szCs w:val="20"/>
          <w:vertAlign w:val="superscript"/>
        </w:rPr>
        <w:t>§</w:t>
      </w:r>
      <w:r w:rsidR="00132F56" w:rsidRPr="00840475">
        <w:rPr>
          <w:sz w:val="20"/>
          <w:szCs w:val="20"/>
        </w:rPr>
        <w:t>Item contains five categories ranging from 0 to 4</w:t>
      </w:r>
    </w:p>
    <w:p w:rsidR="00413E20" w:rsidRPr="00840475" w:rsidRDefault="00413E20">
      <w:pPr>
        <w:spacing w:before="0" w:after="200" w:line="276" w:lineRule="auto"/>
      </w:pPr>
      <w:r w:rsidRPr="00840475">
        <w:br w:type="page"/>
      </w:r>
    </w:p>
    <w:p w:rsidR="00413E20" w:rsidRPr="00840475" w:rsidRDefault="00C82A41" w:rsidP="00413E20">
      <w:pPr>
        <w:spacing w:before="0"/>
        <w:rPr>
          <w:rFonts w:eastAsia="Times New Roman"/>
          <w:bCs/>
          <w:color w:val="212121"/>
          <w:lang w:eastAsia="nl-NL"/>
        </w:rPr>
      </w:pPr>
      <w:r>
        <w:lastRenderedPageBreak/>
        <w:t>Appendix 4</w:t>
      </w:r>
      <w:r w:rsidR="00413E20" w:rsidRPr="00840475">
        <w:t xml:space="preserve"> </w:t>
      </w:r>
      <w:r w:rsidR="00413E20" w:rsidRPr="00840475">
        <w:rPr>
          <w:rFonts w:eastAsia="Times New Roman"/>
          <w:bCs/>
          <w:color w:val="212121"/>
          <w:lang w:eastAsia="nl-NL"/>
        </w:rPr>
        <w:t>The association between time and DMSRQ items</w:t>
      </w:r>
      <w:r w:rsidR="003E1EF4">
        <w:rPr>
          <w:rFonts w:eastAsia="Times New Roman"/>
          <w:bCs/>
          <w:color w:val="212121"/>
          <w:vertAlign w:val="superscript"/>
          <w:lang w:eastAsia="nl-NL"/>
        </w:rPr>
        <w:t>*</w:t>
      </w:r>
      <w:r w:rsidR="002205D0">
        <w:rPr>
          <w:rFonts w:eastAsia="Times New Roman"/>
          <w:bCs/>
          <w:color w:val="212121"/>
          <w:vertAlign w:val="superscript"/>
          <w:lang w:eastAsia="nl-NL"/>
        </w:rPr>
        <w:t>,</w:t>
      </w:r>
      <w:r w:rsidR="002205D0" w:rsidRPr="00840475">
        <w:rPr>
          <w:rFonts w:eastAsia="Times New Roman"/>
          <w:sz w:val="20"/>
          <w:szCs w:val="20"/>
          <w:vertAlign w:val="superscript"/>
          <w:lang w:eastAsia="nl-NL"/>
        </w:rPr>
        <w:t>†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413E20" w:rsidRPr="00840475" w:rsidTr="00CA56EF">
        <w:trPr>
          <w:trHeight w:val="27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20" w:rsidRPr="00840475" w:rsidRDefault="00413E20" w:rsidP="00413E20">
            <w:pPr>
              <w:spacing w:before="0" w:line="480" w:lineRule="auto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20" w:rsidRPr="00840475" w:rsidRDefault="00740BC1" w:rsidP="00413E20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Estimated change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20" w:rsidRPr="00840475" w:rsidRDefault="00413E20" w:rsidP="00413E20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20" w:rsidRPr="00840475" w:rsidRDefault="00413E20" w:rsidP="00413E20">
            <w:pPr>
              <w:spacing w:before="0" w:line="480" w:lineRule="auto"/>
              <w:rPr>
                <w:rFonts w:eastAsia="Times New Roman"/>
                <w:i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95%-CI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1a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0.264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0.036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.001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.640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&lt;.001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0.114 to 0.413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-0.116 to 0.189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-2.390 to -2.154 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1b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0.332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-0.071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.423</w:t>
            </w:r>
          </w:p>
          <w:p w:rsidR="00413E20" w:rsidRPr="00840475" w:rsidRDefault="00413E20" w:rsidP="00413E20">
            <w:pPr>
              <w:rPr>
                <w:rFonts w:eastAsia="Times New Roman"/>
                <w:color w:val="FF0000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0.161 to 0.503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-0.246 to 0.104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0.088 to 0.434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1c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 xml:space="preserve">     </w:t>
            </w: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0.280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-0.021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.757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0.149 to 0.410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-0.154 to 0.112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0.127 to 0.391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2a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0.090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0.120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.364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.242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-0.105 to 0.286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0.081 to 0.321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0.011 to 0.409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2b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-0.074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0.309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.458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.002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-0.269 to 0.122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0.110 to 0.508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0.037 to 0.433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2c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0.039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0.156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.701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.138</w:t>
            </w:r>
            <w:bookmarkStart w:id="0" w:name="_GoBack"/>
            <w:bookmarkEnd w:id="0"/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-0.162 to 0.240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0.050 to 0.362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-0.009 to 0.399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lastRenderedPageBreak/>
              <w:t>Item 2d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0.061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-0.111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.497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.229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-0.115 to 0.237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-0.292 to 0.070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-0.228 to 0.128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2e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0.119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-0.130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.178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.152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-0.055 to 0.293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-0.307 to 0.048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-0.186 to 0.165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2f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0.125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-0.065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.160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.477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-0.050 to 0.300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-0.244 to 0.114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-0.116 to 0.237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3a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0.161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0.134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.073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.144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-0.015 to 0.338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-0.046 to 0.315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0.118 to 0.474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3b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0.365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0.072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.445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0.183 to 0.546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-0.113 to 0.257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0.254 to 0.619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3c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0.401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-0.012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.917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0.206 to 0.597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-0.211 to 0.189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0.193 to 0.588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3d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lastRenderedPageBreak/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0.254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lastRenderedPageBreak/>
              <w:t>0.050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.005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>.584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 xml:space="preserve">0.077 to 0.432 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lastRenderedPageBreak/>
              <w:t>-0.130 to 0.231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0.127 to 0.483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lastRenderedPageBreak/>
              <w:t>Item 3e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 xml:space="preserve">     </w:t>
            </w: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0.299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0.120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.036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.278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0.015 to 0.442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-0.098 to 0.338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0.134 to 0.564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3f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-0.033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0.149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.764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.186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-0.250 to 0.184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-0.072 to 0.371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-0.102 to 0.335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3g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0.289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0.065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.008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.556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0.076 to 0.503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-0.153 to 0.284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0.140 to 0.570</w:t>
            </w:r>
          </w:p>
        </w:tc>
      </w:tr>
      <w:tr w:rsidR="00413E20" w:rsidRPr="00840475" w:rsidTr="00CA56EF">
        <w:trPr>
          <w:trHeight w:val="273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6EF" w:rsidRDefault="00CA56EF" w:rsidP="00413E20">
            <w:pP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  <w:t>Item 4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T0-T1</w:t>
            </w:r>
          </w:p>
          <w:p w:rsidR="00413E20" w:rsidRPr="00CA56EF" w:rsidRDefault="00413E20" w:rsidP="00413E20">
            <w:pPr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T1-T2</w:t>
            </w:r>
          </w:p>
          <w:p w:rsidR="00413E20" w:rsidRPr="00840475" w:rsidRDefault="00413E20" w:rsidP="003E1EF4">
            <w:pPr>
              <w:spacing w:after="240"/>
              <w:rPr>
                <w:rFonts w:eastAsia="Times New Roman"/>
                <w:bCs/>
                <w:i/>
                <w:sz w:val="20"/>
                <w:szCs w:val="20"/>
                <w:lang w:eastAsia="nl-NL"/>
              </w:rPr>
            </w:pPr>
            <w:r w:rsidRPr="00CA56EF">
              <w:rPr>
                <w:rFonts w:eastAsia="Times New Roman"/>
                <w:bCs/>
                <w:sz w:val="20"/>
                <w:szCs w:val="20"/>
                <w:lang w:eastAsia="nl-NL"/>
              </w:rPr>
              <w:t>     T0-T2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0.342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0.145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.057</w:t>
            </w:r>
          </w:p>
          <w:p w:rsidR="00413E20" w:rsidRPr="00840475" w:rsidRDefault="00413E20" w:rsidP="00413E20">
            <w:pPr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color w:val="000000" w:themeColor="text1"/>
                <w:sz w:val="20"/>
                <w:szCs w:val="20"/>
                <w:lang w:eastAsia="nl-NL"/>
              </w:rPr>
              <w:t>&lt;.001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EF4" w:rsidRDefault="003E1EF4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0.196 to 0.489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-0.004 to 0.295</w:t>
            </w:r>
          </w:p>
          <w:p w:rsidR="00413E20" w:rsidRPr="00840475" w:rsidRDefault="00413E20" w:rsidP="00413E20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840475">
              <w:rPr>
                <w:rFonts w:eastAsia="Times New Roman"/>
                <w:sz w:val="20"/>
                <w:szCs w:val="20"/>
                <w:lang w:eastAsia="nl-NL"/>
              </w:rPr>
              <w:t>0.341 to 0.634</w:t>
            </w:r>
          </w:p>
        </w:tc>
      </w:tr>
    </w:tbl>
    <w:p w:rsidR="00413E20" w:rsidRPr="002205D0" w:rsidRDefault="00C31B09" w:rsidP="00413E20">
      <w:pPr>
        <w:autoSpaceDE w:val="0"/>
        <w:autoSpaceDN w:val="0"/>
        <w:adjustRightInd w:val="0"/>
        <w:spacing w:before="0"/>
        <w:rPr>
          <w:sz w:val="20"/>
          <w:szCs w:val="20"/>
        </w:rPr>
      </w:pPr>
      <w:r w:rsidRPr="00840475">
        <w:rPr>
          <w:rFonts w:eastAsia="Times New Roman"/>
          <w:color w:val="212121"/>
          <w:sz w:val="20"/>
          <w:szCs w:val="20"/>
          <w:vertAlign w:val="superscript"/>
          <w:lang w:eastAsia="nl-NL"/>
        </w:rPr>
        <w:t>*</w:t>
      </w:r>
      <w:r w:rsidR="00413E20" w:rsidRPr="00840475">
        <w:rPr>
          <w:rFonts w:eastAsia="Times New Roman"/>
          <w:color w:val="212121"/>
          <w:sz w:val="20"/>
          <w:szCs w:val="20"/>
          <w:lang w:eastAsia="nl-NL"/>
        </w:rPr>
        <w:t>Analyses based on non-imputed item scores</w:t>
      </w:r>
      <w:r w:rsidR="00413E20" w:rsidRPr="00840475">
        <w:rPr>
          <w:rFonts w:eastAsia="Times New Roman"/>
          <w:color w:val="212121"/>
          <w:sz w:val="20"/>
          <w:szCs w:val="20"/>
          <w:vertAlign w:val="superscript"/>
          <w:lang w:eastAsia="nl-NL"/>
        </w:rPr>
        <w:br/>
      </w:r>
      <w:r w:rsidR="002205D0" w:rsidRPr="00840475">
        <w:rPr>
          <w:rFonts w:eastAsia="Times New Roman"/>
          <w:sz w:val="20"/>
          <w:szCs w:val="20"/>
          <w:vertAlign w:val="superscript"/>
          <w:lang w:eastAsia="nl-NL"/>
        </w:rPr>
        <w:t>†</w:t>
      </w:r>
      <w:r w:rsidR="002205D0">
        <w:rPr>
          <w:rFonts w:eastAsia="Times New Roman"/>
          <w:sz w:val="20"/>
          <w:szCs w:val="20"/>
          <w:lang w:eastAsia="nl-NL"/>
        </w:rPr>
        <w:t>See Appendix 3 for the content of items</w:t>
      </w:r>
    </w:p>
    <w:p w:rsidR="00413E20" w:rsidRPr="00840475" w:rsidRDefault="00413E20" w:rsidP="00413E20">
      <w:pPr>
        <w:rPr>
          <w:sz w:val="20"/>
          <w:szCs w:val="20"/>
        </w:rPr>
      </w:pPr>
    </w:p>
    <w:p w:rsidR="00413E20" w:rsidRPr="00840475" w:rsidRDefault="00413E20" w:rsidP="00413E20">
      <w:pPr>
        <w:rPr>
          <w:sz w:val="20"/>
          <w:szCs w:val="20"/>
        </w:rPr>
      </w:pPr>
    </w:p>
    <w:p w:rsidR="00CA56EF" w:rsidRPr="00840475" w:rsidRDefault="00CA56EF" w:rsidP="007647C9">
      <w:pPr>
        <w:spacing w:before="0" w:after="200" w:line="276" w:lineRule="auto"/>
      </w:pPr>
    </w:p>
    <w:sectPr w:rsidR="00CA56EF" w:rsidRPr="0084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49F8"/>
    <w:multiLevelType w:val="multilevel"/>
    <w:tmpl w:val="1B48E936"/>
    <w:name w:val="LT_Heading"/>
    <w:lvl w:ilvl="0">
      <w:start w:val="1"/>
      <w:numFmt w:val="decimal"/>
      <w:lvlRestart w:val="0"/>
      <w:pStyle w:val="Kop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6"/>
    <w:rsid w:val="00033B04"/>
    <w:rsid w:val="00132F56"/>
    <w:rsid w:val="001845D6"/>
    <w:rsid w:val="002205D0"/>
    <w:rsid w:val="00320E13"/>
    <w:rsid w:val="003B5E2F"/>
    <w:rsid w:val="003E1EF4"/>
    <w:rsid w:val="00413E20"/>
    <w:rsid w:val="004249DB"/>
    <w:rsid w:val="00447AFA"/>
    <w:rsid w:val="006354CB"/>
    <w:rsid w:val="006C3052"/>
    <w:rsid w:val="0070648E"/>
    <w:rsid w:val="00740BC1"/>
    <w:rsid w:val="007467FB"/>
    <w:rsid w:val="007647C9"/>
    <w:rsid w:val="00840475"/>
    <w:rsid w:val="008728D6"/>
    <w:rsid w:val="00925E7F"/>
    <w:rsid w:val="00B42568"/>
    <w:rsid w:val="00BB1A70"/>
    <w:rsid w:val="00BE209D"/>
    <w:rsid w:val="00C31B09"/>
    <w:rsid w:val="00C36D29"/>
    <w:rsid w:val="00C775A6"/>
    <w:rsid w:val="00C82A41"/>
    <w:rsid w:val="00C9775F"/>
    <w:rsid w:val="00CA1860"/>
    <w:rsid w:val="00CA56EF"/>
    <w:rsid w:val="00E11ACF"/>
    <w:rsid w:val="00EE4F2D"/>
    <w:rsid w:val="00F35C80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180F"/>
  <w15:docId w15:val="{60280733-88E2-4789-8225-BF05BC7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75A6"/>
    <w:pPr>
      <w:spacing w:before="24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Kop1">
    <w:name w:val="heading 1"/>
    <w:next w:val="Standaard"/>
    <w:link w:val="Kop1Char"/>
    <w:qFormat/>
    <w:rsid w:val="00EE4F2D"/>
    <w:pPr>
      <w:keepNext/>
      <w:pageBreakBefore/>
      <w:numPr>
        <w:numId w:val="1"/>
      </w:numPr>
      <w:spacing w:before="480" w:after="0" w:line="240" w:lineRule="auto"/>
      <w:outlineLvl w:val="0"/>
    </w:pPr>
    <w:rPr>
      <w:rFonts w:ascii="Arial" w:eastAsia="MS Gothic" w:hAnsi="Arial" w:cs="Arial"/>
      <w:b/>
      <w:bCs/>
      <w:caps/>
      <w:kern w:val="32"/>
      <w:sz w:val="28"/>
      <w:szCs w:val="32"/>
      <w:lang w:val="en-US"/>
    </w:rPr>
  </w:style>
  <w:style w:type="paragraph" w:styleId="Kop2">
    <w:name w:val="heading 2"/>
    <w:basedOn w:val="Kop1"/>
    <w:next w:val="Standaard"/>
    <w:link w:val="Kop2Char"/>
    <w:qFormat/>
    <w:rsid w:val="00EE4F2D"/>
    <w:pPr>
      <w:pageBreakBefore w:val="0"/>
      <w:numPr>
        <w:ilvl w:val="1"/>
      </w:numPr>
      <w:outlineLvl w:val="1"/>
    </w:pPr>
    <w:rPr>
      <w:bCs w:val="0"/>
      <w:iCs/>
      <w:sz w:val="22"/>
      <w:szCs w:val="28"/>
    </w:rPr>
  </w:style>
  <w:style w:type="paragraph" w:styleId="Kop3">
    <w:name w:val="heading 3"/>
    <w:basedOn w:val="Kop1"/>
    <w:next w:val="Standaard"/>
    <w:link w:val="Kop3Char"/>
    <w:qFormat/>
    <w:rsid w:val="00EE4F2D"/>
    <w:pPr>
      <w:pageBreakBefore w:val="0"/>
      <w:numPr>
        <w:ilvl w:val="2"/>
      </w:numPr>
      <w:spacing w:before="360"/>
      <w:outlineLvl w:val="2"/>
    </w:pPr>
    <w:rPr>
      <w:bCs w:val="0"/>
      <w:caps w:val="0"/>
      <w:sz w:val="22"/>
      <w:szCs w:val="26"/>
    </w:rPr>
  </w:style>
  <w:style w:type="paragraph" w:styleId="Kop4">
    <w:name w:val="heading 4"/>
    <w:basedOn w:val="Kop1"/>
    <w:next w:val="Standaard"/>
    <w:link w:val="Kop4Char"/>
    <w:qFormat/>
    <w:rsid w:val="00EE4F2D"/>
    <w:pPr>
      <w:pageBreakBefore w:val="0"/>
      <w:numPr>
        <w:ilvl w:val="3"/>
      </w:numPr>
      <w:spacing w:before="360"/>
      <w:outlineLvl w:val="3"/>
    </w:pPr>
    <w:rPr>
      <w:bCs w:val="0"/>
      <w:i/>
      <w:caps w:val="0"/>
      <w:sz w:val="22"/>
      <w:szCs w:val="28"/>
    </w:rPr>
  </w:style>
  <w:style w:type="paragraph" w:styleId="Kop5">
    <w:name w:val="heading 5"/>
    <w:basedOn w:val="Kop1"/>
    <w:next w:val="Standaard"/>
    <w:link w:val="Kop5Char"/>
    <w:qFormat/>
    <w:rsid w:val="00EE4F2D"/>
    <w:pPr>
      <w:pageBreakBefore w:val="0"/>
      <w:numPr>
        <w:ilvl w:val="4"/>
      </w:numPr>
      <w:spacing w:before="360"/>
      <w:outlineLvl w:val="4"/>
    </w:pPr>
    <w:rPr>
      <w:b w:val="0"/>
      <w:bCs w:val="0"/>
      <w:i/>
      <w:iCs/>
      <w:caps w:val="0"/>
      <w:sz w:val="22"/>
      <w:szCs w:val="26"/>
    </w:rPr>
  </w:style>
  <w:style w:type="paragraph" w:styleId="Kop6">
    <w:name w:val="heading 6"/>
    <w:basedOn w:val="Kop1"/>
    <w:next w:val="Standaard"/>
    <w:link w:val="Kop6Char"/>
    <w:qFormat/>
    <w:rsid w:val="00EE4F2D"/>
    <w:pPr>
      <w:pageBreakBefore w:val="0"/>
      <w:numPr>
        <w:ilvl w:val="5"/>
      </w:numPr>
      <w:spacing w:before="360"/>
      <w:outlineLvl w:val="5"/>
    </w:pPr>
    <w:rPr>
      <w:b w:val="0"/>
      <w:bCs w:val="0"/>
      <w:caps w:val="0"/>
      <w:sz w:val="22"/>
      <w:szCs w:val="22"/>
    </w:rPr>
  </w:style>
  <w:style w:type="paragraph" w:styleId="Kop7">
    <w:name w:val="heading 7"/>
    <w:basedOn w:val="Kop6"/>
    <w:next w:val="Standaard"/>
    <w:link w:val="Kop7Char"/>
    <w:qFormat/>
    <w:rsid w:val="00EE4F2D"/>
    <w:pPr>
      <w:numPr>
        <w:ilvl w:val="6"/>
      </w:numPr>
      <w:outlineLvl w:val="6"/>
    </w:pPr>
  </w:style>
  <w:style w:type="paragraph" w:styleId="Kop8">
    <w:name w:val="heading 8"/>
    <w:basedOn w:val="Kop6"/>
    <w:next w:val="Standaard"/>
    <w:link w:val="Kop8Char"/>
    <w:qFormat/>
    <w:rsid w:val="00EE4F2D"/>
    <w:pPr>
      <w:numPr>
        <w:ilvl w:val="7"/>
      </w:numPr>
      <w:outlineLvl w:val="7"/>
    </w:pPr>
    <w:rPr>
      <w:iCs/>
    </w:rPr>
  </w:style>
  <w:style w:type="paragraph" w:styleId="Kop9">
    <w:name w:val="heading 9"/>
    <w:basedOn w:val="Kop6"/>
    <w:next w:val="Standaard"/>
    <w:link w:val="Kop9Char"/>
    <w:qFormat/>
    <w:rsid w:val="00EE4F2D"/>
    <w:pPr>
      <w:numPr>
        <w:ilvl w:val="8"/>
      </w:numPr>
      <w:tabs>
        <w:tab w:val="left" w:pos="1797"/>
      </w:tabs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425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425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42568"/>
    <w:rPr>
      <w:rFonts w:ascii="Times New Roman" w:eastAsia="MS Mincho" w:hAnsi="Times New Roman" w:cs="Times New Roman"/>
      <w:color w:val="000000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5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568"/>
    <w:rPr>
      <w:rFonts w:ascii="Times New Roman" w:eastAsia="MS Mincho" w:hAnsi="Times New Roman" w:cs="Times New Roman"/>
      <w:b/>
      <w:bCs/>
      <w:color w:val="000000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25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568"/>
    <w:rPr>
      <w:rFonts w:ascii="Tahoma" w:eastAsia="MS Mincho" w:hAnsi="Tahoma" w:cs="Tahoma"/>
      <w:color w:val="000000"/>
      <w:sz w:val="16"/>
      <w:szCs w:val="16"/>
      <w:lang w:val="en-US"/>
    </w:rPr>
  </w:style>
  <w:style w:type="character" w:customStyle="1" w:styleId="Kop1Char">
    <w:name w:val="Kop 1 Char"/>
    <w:basedOn w:val="Standaardalinea-lettertype"/>
    <w:link w:val="Kop1"/>
    <w:rsid w:val="00EE4F2D"/>
    <w:rPr>
      <w:rFonts w:ascii="Arial" w:eastAsia="MS Gothic" w:hAnsi="Arial" w:cs="Arial"/>
      <w:b/>
      <w:bCs/>
      <w:caps/>
      <w:kern w:val="32"/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rsid w:val="00EE4F2D"/>
    <w:rPr>
      <w:rFonts w:ascii="Arial" w:eastAsia="MS Gothic" w:hAnsi="Arial" w:cs="Arial"/>
      <w:b/>
      <w:iCs/>
      <w:caps/>
      <w:kern w:val="32"/>
      <w:szCs w:val="28"/>
      <w:lang w:val="en-US"/>
    </w:rPr>
  </w:style>
  <w:style w:type="character" w:customStyle="1" w:styleId="Kop3Char">
    <w:name w:val="Kop 3 Char"/>
    <w:basedOn w:val="Standaardalinea-lettertype"/>
    <w:link w:val="Kop3"/>
    <w:rsid w:val="00EE4F2D"/>
    <w:rPr>
      <w:rFonts w:ascii="Arial" w:eastAsia="MS Gothic" w:hAnsi="Arial" w:cs="Arial"/>
      <w:b/>
      <w:kern w:val="32"/>
      <w:szCs w:val="26"/>
      <w:lang w:val="en-US"/>
    </w:rPr>
  </w:style>
  <w:style w:type="character" w:customStyle="1" w:styleId="Kop4Char">
    <w:name w:val="Kop 4 Char"/>
    <w:basedOn w:val="Standaardalinea-lettertype"/>
    <w:link w:val="Kop4"/>
    <w:rsid w:val="00EE4F2D"/>
    <w:rPr>
      <w:rFonts w:ascii="Arial" w:eastAsia="MS Gothic" w:hAnsi="Arial" w:cs="Arial"/>
      <w:b/>
      <w:i/>
      <w:kern w:val="32"/>
      <w:szCs w:val="28"/>
      <w:lang w:val="en-US"/>
    </w:rPr>
  </w:style>
  <w:style w:type="character" w:customStyle="1" w:styleId="Kop5Char">
    <w:name w:val="Kop 5 Char"/>
    <w:basedOn w:val="Standaardalinea-lettertype"/>
    <w:link w:val="Kop5"/>
    <w:rsid w:val="00EE4F2D"/>
    <w:rPr>
      <w:rFonts w:ascii="Arial" w:eastAsia="MS Gothic" w:hAnsi="Arial" w:cs="Arial"/>
      <w:i/>
      <w:iCs/>
      <w:kern w:val="32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EE4F2D"/>
    <w:rPr>
      <w:rFonts w:ascii="Arial" w:eastAsia="MS Gothic" w:hAnsi="Arial" w:cs="Arial"/>
      <w:kern w:val="32"/>
      <w:lang w:val="en-US"/>
    </w:rPr>
  </w:style>
  <w:style w:type="character" w:customStyle="1" w:styleId="Kop7Char">
    <w:name w:val="Kop 7 Char"/>
    <w:basedOn w:val="Standaardalinea-lettertype"/>
    <w:link w:val="Kop7"/>
    <w:rsid w:val="00EE4F2D"/>
    <w:rPr>
      <w:rFonts w:ascii="Arial" w:eastAsia="MS Gothic" w:hAnsi="Arial" w:cs="Arial"/>
      <w:kern w:val="32"/>
      <w:lang w:val="en-US"/>
    </w:rPr>
  </w:style>
  <w:style w:type="character" w:customStyle="1" w:styleId="Kop8Char">
    <w:name w:val="Kop 8 Char"/>
    <w:basedOn w:val="Standaardalinea-lettertype"/>
    <w:link w:val="Kop8"/>
    <w:rsid w:val="00EE4F2D"/>
    <w:rPr>
      <w:rFonts w:ascii="Arial" w:eastAsia="MS Gothic" w:hAnsi="Arial" w:cs="Arial"/>
      <w:iCs/>
      <w:kern w:val="32"/>
      <w:lang w:val="en-US"/>
    </w:rPr>
  </w:style>
  <w:style w:type="character" w:customStyle="1" w:styleId="Kop9Char">
    <w:name w:val="Kop 9 Char"/>
    <w:basedOn w:val="Standaardalinea-lettertype"/>
    <w:link w:val="Kop9"/>
    <w:rsid w:val="00EE4F2D"/>
    <w:rPr>
      <w:rFonts w:ascii="Arial" w:eastAsia="MS Gothic" w:hAnsi="Arial" w:cs="Arial"/>
      <w:kern w:val="32"/>
      <w:lang w:val="en-US"/>
    </w:rPr>
  </w:style>
  <w:style w:type="paragraph" w:customStyle="1" w:styleId="InstructionsText">
    <w:name w:val="Instructions Text"/>
    <w:basedOn w:val="Standaard"/>
    <w:next w:val="Standaard"/>
    <w:link w:val="InstructionsTextChar"/>
    <w:rsid w:val="00F84CAA"/>
    <w:pPr>
      <w:shd w:val="clear" w:color="auto" w:fill="FFCC66"/>
      <w:spacing w:before="40" w:after="40"/>
    </w:pPr>
    <w:rPr>
      <w:shd w:val="clear" w:color="auto" w:fill="FFCC66"/>
    </w:rPr>
  </w:style>
  <w:style w:type="character" w:customStyle="1" w:styleId="InstructionsTextChar">
    <w:name w:val="Instructions Text Char"/>
    <w:link w:val="InstructionsText"/>
    <w:rsid w:val="00F84CAA"/>
    <w:rPr>
      <w:rFonts w:ascii="Times New Roman" w:eastAsia="MS Mincho" w:hAnsi="Times New Roman" w:cs="Times New Roman"/>
      <w:color w:val="000000"/>
      <w:sz w:val="24"/>
      <w:szCs w:val="24"/>
      <w:shd w:val="clear" w:color="auto" w:fill="FFCC6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895CA28D</Template>
  <TotalTime>148</TotalTime>
  <Pages>10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Wieringa, Thomas</dc:creator>
  <cp:lastModifiedBy>Wieringa, Thomas</cp:lastModifiedBy>
  <cp:revision>23</cp:revision>
  <dcterms:created xsi:type="dcterms:W3CDTF">2018-01-31T12:40:00Z</dcterms:created>
  <dcterms:modified xsi:type="dcterms:W3CDTF">2018-07-23T09:31:00Z</dcterms:modified>
</cp:coreProperties>
</file>